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ind w:firstLine="0" w:firstLineChars="0"/>
        <w:jc w:val="left"/>
        <w:rPr>
          <w:rFonts w:eastAsia="黑体"/>
          <w:color w:val="auto"/>
          <w:lang w:eastAsia="zh-CN"/>
        </w:rPr>
      </w:pPr>
      <w:r>
        <w:rPr>
          <w:rFonts w:eastAsia="黑体"/>
          <w:color w:val="auto"/>
          <w:lang w:eastAsia="zh-CN"/>
        </w:rPr>
        <w:t>附件</w:t>
      </w:r>
      <w:r>
        <w:rPr>
          <w:rFonts w:hint="eastAsia" w:eastAsia="黑体"/>
          <w:color w:val="auto"/>
          <w:lang w:val="en-US" w:eastAsia="zh-CN"/>
        </w:rPr>
        <w:t>5</w:t>
      </w:r>
    </w:p>
    <w:p>
      <w:pPr>
        <w:widowControl w:val="0"/>
        <w:jc w:val="center"/>
        <w:rPr>
          <w:rFonts w:eastAsia="仿宋"/>
          <w:color w:val="auto"/>
          <w:sz w:val="30"/>
          <w:szCs w:val="30"/>
          <w:lang w:eastAsia="zh-CN"/>
        </w:rPr>
      </w:pPr>
    </w:p>
    <w:p>
      <w:pPr>
        <w:widowControl w:val="0"/>
        <w:jc w:val="center"/>
        <w:rPr>
          <w:rFonts w:eastAsia="仿宋"/>
          <w:color w:val="auto"/>
          <w:sz w:val="30"/>
          <w:szCs w:val="30"/>
          <w:lang w:eastAsia="zh-CN"/>
        </w:rPr>
      </w:pPr>
    </w:p>
    <w:p>
      <w:pPr>
        <w:widowControl w:val="0"/>
        <w:ind w:firstLine="960"/>
        <w:jc w:val="center"/>
        <w:rPr>
          <w:rFonts w:eastAsia="黑体"/>
          <w:color w:val="auto"/>
          <w:sz w:val="48"/>
          <w:szCs w:val="48"/>
          <w:lang w:eastAsia="zh-CN"/>
        </w:rPr>
      </w:pPr>
    </w:p>
    <w:p>
      <w:pPr>
        <w:widowControl w:val="0"/>
        <w:spacing w:line="480" w:lineRule="auto"/>
        <w:ind w:firstLine="0" w:firstLineChars="0"/>
        <w:jc w:val="center"/>
        <w:rPr>
          <w:rFonts w:eastAsia="方正小标宋简体"/>
          <w:color w:val="auto"/>
          <w:sz w:val="44"/>
          <w:szCs w:val="44"/>
          <w:lang w:eastAsia="zh-CN"/>
        </w:rPr>
      </w:pPr>
      <w:r>
        <w:rPr>
          <w:rFonts w:eastAsia="方正小标宋简体"/>
          <w:color w:val="auto"/>
          <w:sz w:val="44"/>
          <w:szCs w:val="44"/>
          <w:lang w:eastAsia="zh-CN"/>
        </w:rPr>
        <w:t>生物制品注册受理审查指南</w:t>
      </w:r>
    </w:p>
    <w:p>
      <w:pPr>
        <w:widowControl w:val="0"/>
        <w:spacing w:line="480" w:lineRule="auto"/>
        <w:ind w:firstLine="0" w:firstLineChars="0"/>
        <w:jc w:val="center"/>
        <w:rPr>
          <w:rFonts w:eastAsia="方正小标宋简体"/>
          <w:color w:val="auto"/>
          <w:sz w:val="44"/>
          <w:szCs w:val="44"/>
          <w:lang w:eastAsia="zh-CN"/>
        </w:rPr>
      </w:pPr>
      <w:r>
        <w:rPr>
          <w:rFonts w:eastAsia="方正小标宋简体"/>
          <w:color w:val="auto"/>
          <w:sz w:val="44"/>
          <w:szCs w:val="44"/>
          <w:lang w:eastAsia="zh-CN"/>
        </w:rPr>
        <w:t>(第二部分 治疗用生物制品)</w:t>
      </w:r>
    </w:p>
    <w:p>
      <w:pPr>
        <w:widowControl w:val="0"/>
        <w:spacing w:line="480" w:lineRule="auto"/>
        <w:ind w:firstLine="0" w:firstLineChars="0"/>
        <w:jc w:val="center"/>
        <w:rPr>
          <w:rFonts w:eastAsia="方正小标宋简体"/>
          <w:color w:val="auto"/>
          <w:sz w:val="44"/>
          <w:szCs w:val="44"/>
          <w:lang w:eastAsia="zh-CN"/>
        </w:rPr>
      </w:pPr>
      <w:r>
        <w:rPr>
          <w:rFonts w:eastAsia="方正小标宋简体"/>
          <w:color w:val="auto"/>
          <w:sz w:val="44"/>
          <w:szCs w:val="44"/>
          <w:lang w:eastAsia="zh-CN"/>
        </w:rPr>
        <w:t>（征求意见稿）</w:t>
      </w:r>
    </w:p>
    <w:p>
      <w:pPr>
        <w:widowControl w:val="0"/>
        <w:jc w:val="center"/>
        <w:rPr>
          <w:rFonts w:eastAsia="仿宋"/>
          <w:color w:val="auto"/>
          <w:sz w:val="30"/>
          <w:szCs w:val="30"/>
          <w:lang w:eastAsia="zh-CN"/>
        </w:rPr>
      </w:pPr>
    </w:p>
    <w:p>
      <w:pPr>
        <w:widowControl w:val="0"/>
        <w:jc w:val="center"/>
        <w:rPr>
          <w:rFonts w:eastAsia="仿宋"/>
          <w:color w:val="auto"/>
          <w:sz w:val="30"/>
          <w:szCs w:val="30"/>
          <w:lang w:eastAsia="zh-CN"/>
        </w:rPr>
      </w:pPr>
    </w:p>
    <w:p>
      <w:pPr>
        <w:widowControl w:val="0"/>
        <w:jc w:val="center"/>
        <w:rPr>
          <w:rFonts w:eastAsia="仿宋"/>
          <w:color w:val="auto"/>
          <w:sz w:val="30"/>
          <w:szCs w:val="30"/>
          <w:lang w:eastAsia="zh-CN"/>
        </w:rPr>
      </w:pPr>
    </w:p>
    <w:p>
      <w:pPr>
        <w:widowControl w:val="0"/>
        <w:jc w:val="center"/>
        <w:rPr>
          <w:rFonts w:eastAsia="仿宋"/>
          <w:color w:val="auto"/>
          <w:sz w:val="30"/>
          <w:szCs w:val="30"/>
          <w:lang w:eastAsia="zh-CN"/>
        </w:rPr>
      </w:pPr>
    </w:p>
    <w:p>
      <w:pPr>
        <w:widowControl w:val="0"/>
        <w:jc w:val="center"/>
        <w:rPr>
          <w:rFonts w:eastAsia="仿宋"/>
          <w:color w:val="auto"/>
          <w:sz w:val="30"/>
          <w:szCs w:val="30"/>
          <w:lang w:eastAsia="zh-CN"/>
        </w:rPr>
      </w:pPr>
    </w:p>
    <w:p>
      <w:pPr>
        <w:widowControl w:val="0"/>
        <w:jc w:val="center"/>
        <w:rPr>
          <w:rFonts w:eastAsia="仿宋"/>
          <w:color w:val="auto"/>
          <w:sz w:val="30"/>
          <w:szCs w:val="30"/>
          <w:lang w:eastAsia="zh-CN"/>
        </w:rPr>
      </w:pPr>
    </w:p>
    <w:p>
      <w:pPr>
        <w:widowControl w:val="0"/>
        <w:jc w:val="center"/>
        <w:rPr>
          <w:rFonts w:eastAsia="仿宋"/>
          <w:color w:val="auto"/>
          <w:sz w:val="30"/>
          <w:szCs w:val="30"/>
          <w:lang w:eastAsia="zh-CN"/>
        </w:rPr>
      </w:pPr>
    </w:p>
    <w:p>
      <w:pPr>
        <w:widowControl w:val="0"/>
        <w:spacing w:line="560" w:lineRule="exact"/>
        <w:ind w:firstLine="181" w:firstLineChars="0"/>
        <w:jc w:val="center"/>
        <w:rPr>
          <w:color w:val="auto"/>
          <w:lang w:eastAsia="zh-CN"/>
        </w:rPr>
      </w:pPr>
      <w:r>
        <w:rPr>
          <w:color w:val="auto"/>
          <w:lang w:eastAsia="zh-CN"/>
        </w:rPr>
        <w:t>国家药品监督管理局</w:t>
      </w:r>
    </w:p>
    <w:p>
      <w:pPr>
        <w:widowControl w:val="0"/>
        <w:spacing w:line="560" w:lineRule="exact"/>
        <w:ind w:firstLine="181" w:firstLineChars="0"/>
        <w:jc w:val="center"/>
        <w:rPr>
          <w:color w:val="auto"/>
          <w:lang w:eastAsia="zh-CN"/>
        </w:rPr>
      </w:pPr>
      <w:r>
        <w:rPr>
          <w:color w:val="auto"/>
          <w:lang w:eastAsia="zh-CN"/>
        </w:rPr>
        <w:t>2020年 月 日</w:t>
      </w:r>
    </w:p>
    <w:p>
      <w:pPr>
        <w:widowControl w:val="0"/>
        <w:jc w:val="center"/>
        <w:rPr>
          <w:rFonts w:eastAsia="仿宋"/>
          <w:color w:val="auto"/>
          <w:sz w:val="30"/>
          <w:szCs w:val="30"/>
          <w:lang w:eastAsia="zh-CN"/>
        </w:rPr>
      </w:pPr>
    </w:p>
    <w:p>
      <w:pPr>
        <w:widowControl w:val="0"/>
        <w:jc w:val="center"/>
        <w:rPr>
          <w:rFonts w:eastAsia="仿宋"/>
          <w:color w:val="auto"/>
          <w:sz w:val="30"/>
          <w:szCs w:val="30"/>
          <w:lang w:eastAsia="zh-CN"/>
        </w:rPr>
      </w:pPr>
    </w:p>
    <w:p>
      <w:pPr>
        <w:widowControl w:val="0"/>
        <w:ind w:firstLine="0" w:firstLineChars="0"/>
        <w:jc w:val="center"/>
        <w:rPr>
          <w:color w:val="auto"/>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pPr>
        <w:pStyle w:val="19"/>
        <w:widowControl w:val="0"/>
        <w:tabs>
          <w:tab w:val="right" w:leader="dot" w:pos="8296"/>
        </w:tabs>
        <w:spacing w:line="560" w:lineRule="exact"/>
        <w:ind w:left="0" w:leftChars="0" w:firstLine="0" w:firstLineChars="0"/>
        <w:jc w:val="center"/>
        <w:rPr>
          <w:rFonts w:ascii="方正小标宋简体" w:hAnsi="黑体" w:eastAsia="方正小标宋简体"/>
          <w:sz w:val="44"/>
          <w:szCs w:val="44"/>
        </w:rPr>
      </w:pPr>
      <w:r>
        <w:rPr>
          <w:rFonts w:hint="eastAsia" w:ascii="方正小标宋简体" w:hAnsi="黑体" w:eastAsia="方正小标宋简体"/>
          <w:sz w:val="44"/>
          <w:szCs w:val="44"/>
        </w:rPr>
        <w:t>目</w:t>
      </w:r>
      <w:r>
        <w:rPr>
          <w:rFonts w:ascii="方正小标宋简体" w:hAnsi="黑体" w:eastAsia="方正小标宋简体"/>
          <w:sz w:val="44"/>
          <w:szCs w:val="44"/>
        </w:rPr>
        <w:t xml:space="preserve">    </w:t>
      </w:r>
      <w:r>
        <w:rPr>
          <w:rFonts w:hint="eastAsia" w:ascii="方正小标宋简体" w:hAnsi="黑体" w:eastAsia="方正小标宋简体"/>
          <w:sz w:val="44"/>
          <w:szCs w:val="44"/>
        </w:rPr>
        <w:t>录</w:t>
      </w:r>
    </w:p>
    <w:p>
      <w:pPr>
        <w:pStyle w:val="19"/>
        <w:widowControl w:val="0"/>
        <w:tabs>
          <w:tab w:val="right" w:leader="dot" w:pos="8296"/>
        </w:tabs>
        <w:spacing w:line="560" w:lineRule="exact"/>
        <w:ind w:left="0" w:leftChars="0" w:firstLine="0" w:firstLineChars="0"/>
        <w:jc w:val="center"/>
        <w:rPr>
          <w:rStyle w:val="38"/>
          <w:rFonts w:eastAsia="方正小标宋简体"/>
          <w:color w:val="0000FF"/>
          <w:sz w:val="32"/>
          <w:szCs w:val="32"/>
        </w:rPr>
      </w:pPr>
    </w:p>
    <w:p>
      <w:pPr>
        <w:pStyle w:val="19"/>
        <w:widowControl w:val="0"/>
        <w:tabs>
          <w:tab w:val="right" w:leader="dot" w:pos="8296"/>
        </w:tabs>
        <w:spacing w:line="560" w:lineRule="exact"/>
        <w:ind w:left="0" w:leftChars="0" w:firstLine="0" w:firstLineChars="0"/>
        <w:jc w:val="center"/>
        <w:rPr>
          <w:rStyle w:val="38"/>
          <w:rFonts w:eastAsia="方正小标宋简体"/>
          <w:color w:val="000000" w:themeColor="text1"/>
          <w:sz w:val="32"/>
          <w:szCs w:val="32"/>
          <w:u w:val="none"/>
          <w14:textFill>
            <w14:solidFill>
              <w14:schemeClr w14:val="tx1"/>
            </w14:solidFill>
          </w14:textFill>
        </w:rPr>
      </w:pPr>
      <w:r>
        <w:rPr>
          <w:rStyle w:val="38"/>
          <w:rFonts w:eastAsia="方正小标宋简体"/>
          <w:color w:val="000000" w:themeColor="text1"/>
          <w:sz w:val="32"/>
          <w:szCs w:val="32"/>
          <w:u w:val="none"/>
          <w14:textFill>
            <w14:solidFill>
              <w14:schemeClr w14:val="tx1"/>
            </w14:solidFill>
          </w14:textFill>
        </w:rPr>
        <w:fldChar w:fldCharType="begin"/>
      </w:r>
      <w:r>
        <w:rPr>
          <w:rStyle w:val="38"/>
          <w:rFonts w:eastAsia="方正小标宋简体"/>
          <w:color w:val="000000" w:themeColor="text1"/>
          <w:sz w:val="32"/>
          <w:szCs w:val="32"/>
          <w:u w:val="none"/>
          <w14:textFill>
            <w14:solidFill>
              <w14:schemeClr w14:val="tx1"/>
            </w14:solidFill>
          </w14:textFill>
        </w:rPr>
        <w:instrText xml:space="preserve"> TOC \o "1-4" \h \z \u </w:instrText>
      </w:r>
      <w:r>
        <w:rPr>
          <w:rStyle w:val="38"/>
          <w:rFonts w:eastAsia="方正小标宋简体"/>
          <w:color w:val="000000" w:themeColor="text1"/>
          <w:sz w:val="32"/>
          <w:szCs w:val="32"/>
          <w:u w:val="none"/>
          <w14:textFill>
            <w14:solidFill>
              <w14:schemeClr w14:val="tx1"/>
            </w14:solidFill>
          </w14:textFill>
        </w:rPr>
        <w:fldChar w:fldCharType="separate"/>
      </w:r>
      <w:r>
        <w:fldChar w:fldCharType="begin"/>
      </w:r>
      <w:r>
        <w:instrText xml:space="preserve"> HYPERLINK \l "_Toc33798927" </w:instrText>
      </w:r>
      <w:r>
        <w:fldChar w:fldCharType="separate"/>
      </w:r>
      <w:r>
        <w:rPr>
          <w:rStyle w:val="38"/>
          <w:rFonts w:eastAsia="方正小标宋简体"/>
          <w:color w:val="000000" w:themeColor="text1"/>
          <w:sz w:val="32"/>
          <w:szCs w:val="32"/>
          <w:u w:val="none"/>
          <w14:textFill>
            <w14:solidFill>
              <w14:schemeClr w14:val="tx1"/>
            </w14:solidFill>
          </w14:textFill>
        </w:rPr>
        <w:t>一、适用范围</w:t>
      </w:r>
      <w:r>
        <w:rPr>
          <w:rStyle w:val="38"/>
          <w:rFonts w:eastAsia="方正小标宋简体"/>
          <w:color w:val="000000" w:themeColor="text1"/>
          <w:sz w:val="32"/>
          <w:szCs w:val="32"/>
          <w:u w:val="none"/>
          <w14:textFill>
            <w14:solidFill>
              <w14:schemeClr w14:val="tx1"/>
            </w14:solidFill>
          </w14:textFill>
        </w:rPr>
        <w:tab/>
      </w:r>
      <w:r>
        <w:rPr>
          <w:rStyle w:val="38"/>
          <w:rFonts w:eastAsia="方正小标宋简体"/>
          <w:color w:val="000000" w:themeColor="text1"/>
          <w:sz w:val="32"/>
          <w:szCs w:val="32"/>
          <w:u w:val="none"/>
          <w14:textFill>
            <w14:solidFill>
              <w14:schemeClr w14:val="tx1"/>
            </w14:solidFill>
          </w14:textFill>
        </w:rPr>
        <w:fldChar w:fldCharType="begin"/>
      </w:r>
      <w:r>
        <w:rPr>
          <w:rStyle w:val="38"/>
          <w:rFonts w:eastAsia="方正小标宋简体"/>
          <w:color w:val="000000" w:themeColor="text1"/>
          <w:sz w:val="32"/>
          <w:szCs w:val="32"/>
          <w:u w:val="none"/>
          <w14:textFill>
            <w14:solidFill>
              <w14:schemeClr w14:val="tx1"/>
            </w14:solidFill>
          </w14:textFill>
        </w:rPr>
        <w:instrText xml:space="preserve"> PAGEREF _Toc33798928 \h </w:instrText>
      </w:r>
      <w:r>
        <w:rPr>
          <w:rStyle w:val="38"/>
          <w:rFonts w:eastAsia="方正小标宋简体"/>
          <w:color w:val="000000" w:themeColor="text1"/>
          <w:sz w:val="32"/>
          <w:szCs w:val="32"/>
          <w:u w:val="none"/>
          <w14:textFill>
            <w14:solidFill>
              <w14:schemeClr w14:val="tx1"/>
            </w14:solidFill>
          </w14:textFill>
        </w:rPr>
        <w:fldChar w:fldCharType="separate"/>
      </w:r>
      <w:r>
        <w:rPr>
          <w:rStyle w:val="38"/>
          <w:rFonts w:eastAsia="方正小标宋简体"/>
          <w:color w:val="000000" w:themeColor="text1"/>
          <w:sz w:val="32"/>
          <w:szCs w:val="32"/>
          <w:u w:val="none"/>
          <w14:textFill>
            <w14:solidFill>
              <w14:schemeClr w14:val="tx1"/>
            </w14:solidFill>
          </w14:textFill>
        </w:rPr>
        <w:t>1</w:t>
      </w:r>
      <w:r>
        <w:rPr>
          <w:rStyle w:val="38"/>
          <w:rFonts w:eastAsia="方正小标宋简体"/>
          <w:color w:val="000000" w:themeColor="text1"/>
          <w:sz w:val="32"/>
          <w:szCs w:val="32"/>
          <w:u w:val="none"/>
          <w14:textFill>
            <w14:solidFill>
              <w14:schemeClr w14:val="tx1"/>
            </w14:solidFill>
          </w14:textFill>
        </w:rPr>
        <w:fldChar w:fldCharType="end"/>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296"/>
        </w:tabs>
        <w:spacing w:line="560" w:lineRule="exact"/>
        <w:ind w:left="0" w:leftChars="0" w:firstLine="0" w:firstLineChars="0"/>
        <w:jc w:val="center"/>
        <w:rPr>
          <w:rStyle w:val="38"/>
          <w:rFonts w:eastAsia="方正小标宋简体"/>
          <w:color w:val="000000" w:themeColor="text1"/>
          <w:sz w:val="32"/>
          <w:szCs w:val="32"/>
          <w:u w:val="none"/>
          <w14:textFill>
            <w14:solidFill>
              <w14:schemeClr w14:val="tx1"/>
            </w14:solidFill>
          </w14:textFill>
        </w:rPr>
      </w:pPr>
      <w:r>
        <w:fldChar w:fldCharType="begin"/>
      </w:r>
      <w:r>
        <w:instrText xml:space="preserve"> HYPERLINK \l "_Toc33798928" </w:instrText>
      </w:r>
      <w:r>
        <w:fldChar w:fldCharType="separate"/>
      </w:r>
      <w:r>
        <w:rPr>
          <w:rStyle w:val="38"/>
          <w:rFonts w:eastAsia="方正小标宋简体"/>
          <w:color w:val="000000" w:themeColor="text1"/>
          <w:sz w:val="32"/>
          <w:szCs w:val="32"/>
          <w:u w:val="none"/>
          <w14:textFill>
            <w14:solidFill>
              <w14:schemeClr w14:val="tx1"/>
            </w14:solidFill>
          </w14:textFill>
        </w:rPr>
        <w:t>二、受理部门</w:t>
      </w:r>
      <w:r>
        <w:rPr>
          <w:rStyle w:val="38"/>
          <w:rFonts w:eastAsia="方正小标宋简体"/>
          <w:color w:val="000000" w:themeColor="text1"/>
          <w:sz w:val="32"/>
          <w:szCs w:val="32"/>
          <w:u w:val="none"/>
          <w14:textFill>
            <w14:solidFill>
              <w14:schemeClr w14:val="tx1"/>
            </w14:solidFill>
          </w14:textFill>
        </w:rPr>
        <w:tab/>
      </w:r>
      <w:r>
        <w:rPr>
          <w:rStyle w:val="38"/>
          <w:rFonts w:eastAsia="方正小标宋简体"/>
          <w:color w:val="000000" w:themeColor="text1"/>
          <w:sz w:val="32"/>
          <w:szCs w:val="32"/>
          <w:u w:val="none"/>
          <w14:textFill>
            <w14:solidFill>
              <w14:schemeClr w14:val="tx1"/>
            </w14:solidFill>
          </w14:textFill>
        </w:rPr>
        <w:fldChar w:fldCharType="begin"/>
      </w:r>
      <w:r>
        <w:rPr>
          <w:rStyle w:val="38"/>
          <w:rFonts w:eastAsia="方正小标宋简体"/>
          <w:color w:val="000000" w:themeColor="text1"/>
          <w:sz w:val="32"/>
          <w:szCs w:val="32"/>
          <w:u w:val="none"/>
          <w14:textFill>
            <w14:solidFill>
              <w14:schemeClr w14:val="tx1"/>
            </w14:solidFill>
          </w14:textFill>
        </w:rPr>
        <w:instrText xml:space="preserve"> PAGEREF _Toc33798928 \h </w:instrText>
      </w:r>
      <w:r>
        <w:rPr>
          <w:rStyle w:val="38"/>
          <w:rFonts w:eastAsia="方正小标宋简体"/>
          <w:color w:val="000000" w:themeColor="text1"/>
          <w:sz w:val="32"/>
          <w:szCs w:val="32"/>
          <w:u w:val="none"/>
          <w14:textFill>
            <w14:solidFill>
              <w14:schemeClr w14:val="tx1"/>
            </w14:solidFill>
          </w14:textFill>
        </w:rPr>
        <w:fldChar w:fldCharType="separate"/>
      </w:r>
      <w:r>
        <w:rPr>
          <w:rStyle w:val="38"/>
          <w:rFonts w:eastAsia="方正小标宋简体"/>
          <w:color w:val="000000" w:themeColor="text1"/>
          <w:sz w:val="32"/>
          <w:szCs w:val="32"/>
          <w:u w:val="none"/>
          <w14:textFill>
            <w14:solidFill>
              <w14:schemeClr w14:val="tx1"/>
            </w14:solidFill>
          </w14:textFill>
        </w:rPr>
        <w:t>1</w:t>
      </w:r>
      <w:r>
        <w:rPr>
          <w:rStyle w:val="38"/>
          <w:rFonts w:eastAsia="方正小标宋简体"/>
          <w:color w:val="000000" w:themeColor="text1"/>
          <w:sz w:val="32"/>
          <w:szCs w:val="32"/>
          <w:u w:val="none"/>
          <w14:textFill>
            <w14:solidFill>
              <w14:schemeClr w14:val="tx1"/>
            </w14:solidFill>
          </w14:textFill>
        </w:rPr>
        <w:fldChar w:fldCharType="end"/>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296"/>
        </w:tabs>
        <w:spacing w:line="560" w:lineRule="exact"/>
        <w:ind w:left="0" w:leftChars="0" w:firstLine="0" w:firstLineChars="0"/>
        <w:jc w:val="center"/>
        <w:rPr>
          <w:rStyle w:val="38"/>
          <w:rFonts w:eastAsia="方正小标宋简体"/>
          <w:color w:val="000000" w:themeColor="text1"/>
          <w:sz w:val="32"/>
          <w:szCs w:val="32"/>
          <w:u w:val="none"/>
          <w14:textFill>
            <w14:solidFill>
              <w14:schemeClr w14:val="tx1"/>
            </w14:solidFill>
          </w14:textFill>
        </w:rPr>
      </w:pPr>
      <w:r>
        <w:fldChar w:fldCharType="begin"/>
      </w:r>
      <w:r>
        <w:instrText xml:space="preserve"> HYPERLINK \l "_Toc33798929" </w:instrText>
      </w:r>
      <w:r>
        <w:fldChar w:fldCharType="separate"/>
      </w:r>
      <w:r>
        <w:rPr>
          <w:rStyle w:val="38"/>
          <w:rFonts w:eastAsia="方正小标宋简体"/>
          <w:color w:val="000000" w:themeColor="text1"/>
          <w:sz w:val="32"/>
          <w:szCs w:val="32"/>
          <w:u w:val="none"/>
          <w14:textFill>
            <w14:solidFill>
              <w14:schemeClr w14:val="tx1"/>
            </w14:solidFill>
          </w14:textFill>
        </w:rPr>
        <w:t>三、资料基本要求</w:t>
      </w:r>
      <w:r>
        <w:rPr>
          <w:rStyle w:val="38"/>
          <w:rFonts w:eastAsia="方正小标宋简体"/>
          <w:color w:val="000000" w:themeColor="text1"/>
          <w:sz w:val="32"/>
          <w:szCs w:val="32"/>
          <w:u w:val="none"/>
          <w14:textFill>
            <w14:solidFill>
              <w14:schemeClr w14:val="tx1"/>
            </w14:solidFill>
          </w14:textFill>
        </w:rPr>
        <w:tab/>
      </w:r>
      <w:r>
        <w:rPr>
          <w:rStyle w:val="38"/>
          <w:rFonts w:eastAsia="方正小标宋简体"/>
          <w:color w:val="000000" w:themeColor="text1"/>
          <w:sz w:val="32"/>
          <w:szCs w:val="32"/>
          <w:u w:val="none"/>
          <w14:textFill>
            <w14:solidFill>
              <w14:schemeClr w14:val="tx1"/>
            </w14:solidFill>
          </w14:textFill>
        </w:rPr>
        <w:fldChar w:fldCharType="begin"/>
      </w:r>
      <w:r>
        <w:rPr>
          <w:rStyle w:val="38"/>
          <w:rFonts w:eastAsia="方正小标宋简体"/>
          <w:color w:val="000000" w:themeColor="text1"/>
          <w:sz w:val="32"/>
          <w:szCs w:val="32"/>
          <w:u w:val="none"/>
          <w14:textFill>
            <w14:solidFill>
              <w14:schemeClr w14:val="tx1"/>
            </w14:solidFill>
          </w14:textFill>
        </w:rPr>
        <w:instrText xml:space="preserve"> PAGEREF _Toc33798929 \h </w:instrText>
      </w:r>
      <w:r>
        <w:rPr>
          <w:rStyle w:val="38"/>
          <w:rFonts w:eastAsia="方正小标宋简体"/>
          <w:color w:val="000000" w:themeColor="text1"/>
          <w:sz w:val="32"/>
          <w:szCs w:val="32"/>
          <w:u w:val="none"/>
          <w14:textFill>
            <w14:solidFill>
              <w14:schemeClr w14:val="tx1"/>
            </w14:solidFill>
          </w14:textFill>
        </w:rPr>
        <w:fldChar w:fldCharType="separate"/>
      </w:r>
      <w:r>
        <w:rPr>
          <w:rStyle w:val="38"/>
          <w:rFonts w:eastAsia="方正小标宋简体"/>
          <w:color w:val="000000" w:themeColor="text1"/>
          <w:sz w:val="32"/>
          <w:szCs w:val="32"/>
          <w:u w:val="none"/>
          <w14:textFill>
            <w14:solidFill>
              <w14:schemeClr w14:val="tx1"/>
            </w14:solidFill>
          </w14:textFill>
        </w:rPr>
        <w:t>1</w:t>
      </w:r>
      <w:r>
        <w:rPr>
          <w:rStyle w:val="38"/>
          <w:rFonts w:eastAsia="方正小标宋简体"/>
          <w:color w:val="000000" w:themeColor="text1"/>
          <w:sz w:val="32"/>
          <w:szCs w:val="32"/>
          <w:u w:val="none"/>
          <w14:textFill>
            <w14:solidFill>
              <w14:schemeClr w14:val="tx1"/>
            </w14:solidFill>
          </w14:textFill>
        </w:rPr>
        <w:fldChar w:fldCharType="end"/>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"_Toc33798930" </w:instrText>
      </w:r>
      <w:r>
        <w:fldChar w:fldCharType="separate"/>
      </w:r>
      <w:r>
        <w:rPr>
          <w:rStyle w:val="38"/>
          <w:rFonts w:hint="eastAsia" w:ascii="楷体_GB2312"/>
          <w:sz w:val="32"/>
          <w:szCs w:val="32"/>
          <w:u w:val="none"/>
        </w:rPr>
        <w:t>（一）申请表的整理</w:t>
      </w:r>
      <w:r>
        <w:rPr>
          <w:rStyle w:val="38"/>
          <w:rFonts w:hint="eastAsia" w:ascii="楷体_GB2312"/>
          <w:sz w:val="32"/>
          <w:szCs w:val="32"/>
          <w:u w:val="none"/>
        </w:rPr>
        <w:tab/>
      </w:r>
      <w:r>
        <w:rPr>
          <w:rStyle w:val="38"/>
          <w:rFonts w:hint="eastAsia" w:eastAsia="方正小标宋简体"/>
          <w:color w:val="000000" w:themeColor="text1"/>
          <w:sz w:val="32"/>
          <w:szCs w:val="32"/>
          <w:u w:val="none"/>
          <w14:textFill>
            <w14:solidFill>
              <w14:schemeClr w14:val="tx1"/>
            </w14:solidFill>
          </w14:textFill>
        </w:rPr>
        <w:fldChar w:fldCharType="begin"/>
      </w:r>
      <w:r>
        <w:rPr>
          <w:rStyle w:val="38"/>
          <w:rFonts w:hint="eastAsia" w:eastAsia="方正小标宋简体"/>
          <w:color w:val="000000" w:themeColor="text1"/>
          <w:sz w:val="32"/>
          <w:szCs w:val="32"/>
          <w:u w:val="none"/>
          <w14:textFill>
            <w14:solidFill>
              <w14:schemeClr w14:val="tx1"/>
            </w14:solidFill>
          </w14:textFill>
        </w:rPr>
        <w:instrText xml:space="preserve"> PAGEREF _Toc33798930 \h </w:instrText>
      </w:r>
      <w:r>
        <w:rPr>
          <w:rStyle w:val="38"/>
          <w:rFonts w:hint="eastAsia" w:eastAsia="方正小标宋简体"/>
          <w:color w:val="000000" w:themeColor="text1"/>
          <w:sz w:val="32"/>
          <w:szCs w:val="32"/>
          <w:u w:val="none"/>
          <w14:textFill>
            <w14:solidFill>
              <w14:schemeClr w14:val="tx1"/>
            </w14:solidFill>
          </w14:textFill>
        </w:rPr>
        <w:fldChar w:fldCharType="separate"/>
      </w:r>
      <w:r>
        <w:rPr>
          <w:rStyle w:val="38"/>
          <w:rFonts w:hint="eastAsia" w:eastAsia="方正小标宋简体"/>
          <w:color w:val="000000" w:themeColor="text1"/>
          <w:sz w:val="32"/>
          <w:szCs w:val="32"/>
          <w:u w:val="none"/>
          <w14:textFill>
            <w14:solidFill>
              <w14:schemeClr w14:val="tx1"/>
            </w14:solidFill>
          </w14:textFill>
        </w:rPr>
        <w:t>1</w:t>
      </w:r>
      <w:r>
        <w:rPr>
          <w:rStyle w:val="38"/>
          <w:rFonts w:hint="eastAsia" w:eastAsia="方正小标宋简体"/>
          <w:color w:val="000000" w:themeColor="text1"/>
          <w:sz w:val="32"/>
          <w:szCs w:val="32"/>
          <w:u w:val="none"/>
          <w14:textFill>
            <w14:solidFill>
              <w14:schemeClr w14:val="tx1"/>
            </w14:solidFill>
          </w14:textFill>
        </w:rPr>
        <w:fldChar w:fldCharType="end"/>
      </w:r>
      <w:r>
        <w:rPr>
          <w:rStyle w:val="38"/>
          <w:rFonts w:hint="eastAsia"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eastAsia="方正小标宋简体"/>
          <w:color w:val="000000" w:themeColor="text1"/>
          <w:sz w:val="32"/>
          <w:szCs w:val="32"/>
          <w:u w:val="none"/>
          <w14:textFill>
            <w14:solidFill>
              <w14:schemeClr w14:val="tx1"/>
            </w14:solidFill>
          </w14:textFill>
        </w:rPr>
      </w:pPr>
      <w:r>
        <w:fldChar w:fldCharType="begin"/>
      </w:r>
      <w:r>
        <w:instrText xml:space="preserve"> HYPERLINK \l "_Toc33798931" </w:instrText>
      </w:r>
      <w:r>
        <w:fldChar w:fldCharType="separate"/>
      </w:r>
      <w:r>
        <w:rPr>
          <w:rStyle w:val="38"/>
          <w:rFonts w:hint="eastAsia" w:ascii="楷体_GB2312"/>
          <w:sz w:val="32"/>
          <w:szCs w:val="32"/>
          <w:u w:val="none"/>
        </w:rPr>
        <w:t>（二）申报资料的整理</w:t>
      </w:r>
      <w:r>
        <w:rPr>
          <w:rStyle w:val="38"/>
          <w:rFonts w:hint="eastAsia" w:ascii="楷体_GB2312"/>
          <w:sz w:val="32"/>
          <w:szCs w:val="32"/>
          <w:u w:val="none"/>
        </w:rPr>
        <w:tab/>
      </w:r>
      <w:r>
        <w:rPr>
          <w:rStyle w:val="38"/>
          <w:rFonts w:hint="eastAsia" w:eastAsia="方正小标宋简体"/>
          <w:color w:val="000000" w:themeColor="text1"/>
          <w:sz w:val="32"/>
          <w:szCs w:val="32"/>
          <w:u w:val="none"/>
          <w14:textFill>
            <w14:solidFill>
              <w14:schemeClr w14:val="tx1"/>
            </w14:solidFill>
          </w14:textFill>
        </w:rPr>
        <w:fldChar w:fldCharType="begin"/>
      </w:r>
      <w:r>
        <w:rPr>
          <w:rStyle w:val="38"/>
          <w:rFonts w:hint="eastAsia" w:eastAsia="方正小标宋简体"/>
          <w:color w:val="000000" w:themeColor="text1"/>
          <w:sz w:val="32"/>
          <w:szCs w:val="32"/>
          <w:u w:val="none"/>
          <w14:textFill>
            <w14:solidFill>
              <w14:schemeClr w14:val="tx1"/>
            </w14:solidFill>
          </w14:textFill>
        </w:rPr>
        <w:instrText xml:space="preserve"> PAGEREF _Toc33798931 \h </w:instrText>
      </w:r>
      <w:r>
        <w:rPr>
          <w:rStyle w:val="38"/>
          <w:rFonts w:hint="eastAsia" w:eastAsia="方正小标宋简体"/>
          <w:color w:val="000000" w:themeColor="text1"/>
          <w:sz w:val="32"/>
          <w:szCs w:val="32"/>
          <w:u w:val="none"/>
          <w14:textFill>
            <w14:solidFill>
              <w14:schemeClr w14:val="tx1"/>
            </w14:solidFill>
          </w14:textFill>
        </w:rPr>
        <w:fldChar w:fldCharType="separate"/>
      </w:r>
      <w:r>
        <w:rPr>
          <w:rStyle w:val="38"/>
          <w:rFonts w:hint="eastAsia" w:eastAsia="方正小标宋简体"/>
          <w:color w:val="000000" w:themeColor="text1"/>
          <w:sz w:val="32"/>
          <w:szCs w:val="32"/>
          <w:u w:val="none"/>
          <w14:textFill>
            <w14:solidFill>
              <w14:schemeClr w14:val="tx1"/>
            </w14:solidFill>
          </w14:textFill>
        </w:rPr>
        <w:t>1</w:t>
      </w:r>
      <w:r>
        <w:rPr>
          <w:rStyle w:val="38"/>
          <w:rFonts w:hint="eastAsia" w:eastAsia="方正小标宋简体"/>
          <w:color w:val="000000" w:themeColor="text1"/>
          <w:sz w:val="32"/>
          <w:szCs w:val="32"/>
          <w:u w:val="none"/>
          <w14:textFill>
            <w14:solidFill>
              <w14:schemeClr w14:val="tx1"/>
            </w14:solidFill>
          </w14:textFill>
        </w:rPr>
        <w:fldChar w:fldCharType="end"/>
      </w:r>
      <w:r>
        <w:rPr>
          <w:rStyle w:val="38"/>
          <w:rFonts w:hint="eastAsia"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296"/>
        </w:tabs>
        <w:spacing w:line="560" w:lineRule="exact"/>
        <w:ind w:left="0" w:leftChars="0" w:firstLine="0" w:firstLineChars="0"/>
        <w:jc w:val="center"/>
        <w:rPr>
          <w:rStyle w:val="38"/>
          <w:rFonts w:eastAsia="方正小标宋简体"/>
          <w:color w:val="000000" w:themeColor="text1"/>
          <w:sz w:val="32"/>
          <w:szCs w:val="32"/>
          <w:u w:val="none"/>
          <w14:textFill>
            <w14:solidFill>
              <w14:schemeClr w14:val="tx1"/>
            </w14:solidFill>
          </w14:textFill>
        </w:rPr>
      </w:pPr>
      <w:r>
        <w:fldChar w:fldCharType="begin"/>
      </w:r>
      <w:r>
        <w:instrText xml:space="preserve"> HYPERLINK \l "_Toc33798932" </w:instrText>
      </w:r>
      <w:r>
        <w:fldChar w:fldCharType="separate"/>
      </w:r>
      <w:r>
        <w:rPr>
          <w:rStyle w:val="38"/>
          <w:rFonts w:eastAsia="方正小标宋简体"/>
          <w:color w:val="000000" w:themeColor="text1"/>
          <w:sz w:val="32"/>
          <w:szCs w:val="32"/>
          <w:u w:val="none"/>
          <w14:textFill>
            <w14:solidFill>
              <w14:schemeClr w14:val="tx1"/>
            </w14:solidFill>
          </w14:textFill>
        </w:rPr>
        <w:t>四、形式审查要点</w:t>
      </w:r>
      <w:r>
        <w:rPr>
          <w:rStyle w:val="38"/>
          <w:rFonts w:eastAsia="方正小标宋简体"/>
          <w:color w:val="000000" w:themeColor="text1"/>
          <w:sz w:val="32"/>
          <w:szCs w:val="32"/>
          <w:u w:val="none"/>
          <w14:textFill>
            <w14:solidFill>
              <w14:schemeClr w14:val="tx1"/>
            </w14:solidFill>
          </w14:textFill>
        </w:rPr>
        <w:tab/>
      </w:r>
      <w:r>
        <w:rPr>
          <w:rStyle w:val="38"/>
          <w:rFonts w:eastAsia="方正小标宋简体"/>
          <w:color w:val="000000" w:themeColor="text1"/>
          <w:sz w:val="32"/>
          <w:szCs w:val="32"/>
          <w:u w:val="none"/>
          <w14:textFill>
            <w14:solidFill>
              <w14:schemeClr w14:val="tx1"/>
            </w14:solidFill>
          </w14:textFill>
        </w:rPr>
        <w:t>2</w:t>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"_Toc33798933" </w:instrText>
      </w:r>
      <w:r>
        <w:fldChar w:fldCharType="separate"/>
      </w:r>
      <w:r>
        <w:rPr>
          <w:rStyle w:val="38"/>
          <w:rFonts w:hint="eastAsia" w:ascii="楷体_GB2312"/>
          <w:sz w:val="32"/>
          <w:szCs w:val="32"/>
          <w:u w:val="none"/>
        </w:rPr>
        <w:t>（一）申请事项审查要点</w:t>
      </w:r>
      <w:r>
        <w:rPr>
          <w:rStyle w:val="38"/>
          <w:rFonts w:hint="eastAsia" w:ascii="楷体_GB2312"/>
          <w:sz w:val="32"/>
          <w:szCs w:val="32"/>
          <w:u w:val="none"/>
        </w:rPr>
        <w:tab/>
      </w:r>
      <w:r>
        <w:rPr>
          <w:rStyle w:val="38"/>
          <w:rFonts w:hint="eastAsia" w:eastAsia="方正小标宋简体"/>
          <w:color w:val="000000" w:themeColor="text1"/>
          <w:sz w:val="32"/>
          <w:szCs w:val="32"/>
          <w:u w:val="none"/>
          <w14:textFill>
            <w14:solidFill>
              <w14:schemeClr w14:val="tx1"/>
            </w14:solidFill>
          </w14:textFill>
        </w:rPr>
        <w:fldChar w:fldCharType="begin"/>
      </w:r>
      <w:r>
        <w:rPr>
          <w:rStyle w:val="38"/>
          <w:rFonts w:hint="eastAsia" w:eastAsia="方正小标宋简体"/>
          <w:color w:val="000000" w:themeColor="text1"/>
          <w:sz w:val="32"/>
          <w:szCs w:val="32"/>
          <w:u w:val="none"/>
          <w14:textFill>
            <w14:solidFill>
              <w14:schemeClr w14:val="tx1"/>
            </w14:solidFill>
          </w14:textFill>
        </w:rPr>
        <w:instrText xml:space="preserve"> PAGEREF _Toc33798933 \h </w:instrText>
      </w:r>
      <w:r>
        <w:rPr>
          <w:rStyle w:val="38"/>
          <w:rFonts w:hint="eastAsia" w:eastAsia="方正小标宋简体"/>
          <w:color w:val="000000" w:themeColor="text1"/>
          <w:sz w:val="32"/>
          <w:szCs w:val="32"/>
          <w:u w:val="none"/>
          <w14:textFill>
            <w14:solidFill>
              <w14:schemeClr w14:val="tx1"/>
            </w14:solidFill>
          </w14:textFill>
        </w:rPr>
        <w:fldChar w:fldCharType="separate"/>
      </w:r>
      <w:r>
        <w:rPr>
          <w:rStyle w:val="38"/>
          <w:rFonts w:hint="eastAsia" w:eastAsia="方正小标宋简体"/>
          <w:color w:val="000000" w:themeColor="text1"/>
          <w:sz w:val="32"/>
          <w:szCs w:val="32"/>
          <w:u w:val="none"/>
          <w14:textFill>
            <w14:solidFill>
              <w14:schemeClr w14:val="tx1"/>
            </w14:solidFill>
          </w14:textFill>
        </w:rPr>
        <w:t>2</w:t>
      </w:r>
      <w:r>
        <w:rPr>
          <w:rStyle w:val="38"/>
          <w:rFonts w:hint="eastAsia" w:eastAsia="方正小标宋简体"/>
          <w:color w:val="000000" w:themeColor="text1"/>
          <w:sz w:val="32"/>
          <w:szCs w:val="32"/>
          <w:u w:val="none"/>
          <w14:textFill>
            <w14:solidFill>
              <w14:schemeClr w14:val="tx1"/>
            </w14:solidFill>
          </w14:textFill>
        </w:rPr>
        <w:fldChar w:fldCharType="end"/>
      </w:r>
      <w:r>
        <w:rPr>
          <w:rStyle w:val="38"/>
          <w:rFonts w:hint="eastAsia"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"_Toc33798934" </w:instrText>
      </w:r>
      <w:r>
        <w:fldChar w:fldCharType="separate"/>
      </w:r>
      <w:r>
        <w:rPr>
          <w:rStyle w:val="38"/>
          <w:rFonts w:hint="eastAsia" w:ascii="楷体_GB2312"/>
          <w:sz w:val="32"/>
          <w:szCs w:val="32"/>
          <w:u w:val="none"/>
        </w:rPr>
        <w:t>（二）沟通交流审查要点</w:t>
      </w:r>
      <w:r>
        <w:rPr>
          <w:rStyle w:val="38"/>
          <w:rFonts w:hint="eastAsia" w:ascii="楷体_GB2312"/>
          <w:sz w:val="32"/>
          <w:szCs w:val="32"/>
          <w:u w:val="none"/>
        </w:rPr>
        <w:tab/>
      </w:r>
      <w:r>
        <w:rPr>
          <w:rStyle w:val="38"/>
          <w:rFonts w:hint="eastAsia" w:eastAsia="方正小标宋简体"/>
          <w:color w:val="000000" w:themeColor="text1"/>
          <w:sz w:val="32"/>
          <w:szCs w:val="32"/>
          <w:u w:val="none"/>
          <w14:textFill>
            <w14:solidFill>
              <w14:schemeClr w14:val="tx1"/>
            </w14:solidFill>
          </w14:textFill>
        </w:rPr>
        <w:t>3</w:t>
      </w:r>
      <w:r>
        <w:rPr>
          <w:rStyle w:val="38"/>
          <w:rFonts w:hint="eastAsia"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"_Toc33798935" </w:instrText>
      </w:r>
      <w:r>
        <w:fldChar w:fldCharType="separate"/>
      </w:r>
      <w:r>
        <w:rPr>
          <w:rStyle w:val="38"/>
          <w:rFonts w:hint="eastAsia" w:ascii="楷体_GB2312"/>
          <w:sz w:val="32"/>
          <w:szCs w:val="32"/>
          <w:u w:val="none"/>
        </w:rPr>
        <w:t>（三）申请表审查要点</w:t>
      </w:r>
      <w:r>
        <w:rPr>
          <w:rStyle w:val="38"/>
          <w:rFonts w:hint="eastAsia" w:ascii="楷体_GB2312"/>
          <w:sz w:val="32"/>
          <w:szCs w:val="32"/>
          <w:u w:val="none"/>
        </w:rPr>
        <w:tab/>
      </w:r>
      <w:r>
        <w:rPr>
          <w:rStyle w:val="38"/>
          <w:rFonts w:hint="eastAsia" w:eastAsia="方正小标宋简体"/>
          <w:color w:val="000000" w:themeColor="text1"/>
          <w:sz w:val="32"/>
          <w:szCs w:val="32"/>
          <w:u w:val="none"/>
          <w14:textFill>
            <w14:solidFill>
              <w14:schemeClr w14:val="tx1"/>
            </w14:solidFill>
          </w14:textFill>
        </w:rPr>
        <w:fldChar w:fldCharType="begin"/>
      </w:r>
      <w:r>
        <w:rPr>
          <w:rStyle w:val="38"/>
          <w:rFonts w:hint="eastAsia" w:eastAsia="方正小标宋简体"/>
          <w:color w:val="000000" w:themeColor="text1"/>
          <w:sz w:val="32"/>
          <w:szCs w:val="32"/>
          <w:u w:val="none"/>
          <w14:textFill>
            <w14:solidFill>
              <w14:schemeClr w14:val="tx1"/>
            </w14:solidFill>
          </w14:textFill>
        </w:rPr>
        <w:instrText xml:space="preserve"> PAGEREF _Toc33798935 \h </w:instrText>
      </w:r>
      <w:r>
        <w:rPr>
          <w:rStyle w:val="38"/>
          <w:rFonts w:hint="eastAsia" w:eastAsia="方正小标宋简体"/>
          <w:color w:val="000000" w:themeColor="text1"/>
          <w:sz w:val="32"/>
          <w:szCs w:val="32"/>
          <w:u w:val="none"/>
          <w14:textFill>
            <w14:solidFill>
              <w14:schemeClr w14:val="tx1"/>
            </w14:solidFill>
          </w14:textFill>
        </w:rPr>
        <w:fldChar w:fldCharType="separate"/>
      </w:r>
      <w:r>
        <w:rPr>
          <w:rStyle w:val="38"/>
          <w:rFonts w:hint="eastAsia" w:eastAsia="方正小标宋简体"/>
          <w:color w:val="000000" w:themeColor="text1"/>
          <w:sz w:val="32"/>
          <w:szCs w:val="32"/>
          <w:u w:val="none"/>
          <w14:textFill>
            <w14:solidFill>
              <w14:schemeClr w14:val="tx1"/>
            </w14:solidFill>
          </w14:textFill>
        </w:rPr>
        <w:t>3</w:t>
      </w:r>
      <w:r>
        <w:rPr>
          <w:rStyle w:val="38"/>
          <w:rFonts w:hint="eastAsia" w:eastAsia="方正小标宋简体"/>
          <w:color w:val="000000" w:themeColor="text1"/>
          <w:sz w:val="32"/>
          <w:szCs w:val="32"/>
          <w:u w:val="none"/>
          <w14:textFill>
            <w14:solidFill>
              <w14:schemeClr w14:val="tx1"/>
            </w14:solidFill>
          </w14:textFill>
        </w:rPr>
        <w:fldChar w:fldCharType="end"/>
      </w:r>
      <w:r>
        <w:rPr>
          <w:rStyle w:val="38"/>
          <w:rFonts w:hint="eastAsia"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"_Toc33798937" </w:instrText>
      </w:r>
      <w:r>
        <w:fldChar w:fldCharType="separate"/>
      </w:r>
      <w:r>
        <w:rPr>
          <w:rStyle w:val="38"/>
          <w:rFonts w:hint="eastAsia" w:ascii="楷体_GB2312"/>
          <w:sz w:val="32"/>
          <w:szCs w:val="32"/>
          <w:u w:val="none"/>
        </w:rPr>
        <w:t>（四）申报资料审查要点</w:t>
      </w:r>
      <w:r>
        <w:rPr>
          <w:rStyle w:val="38"/>
          <w:rFonts w:hint="eastAsia" w:ascii="楷体_GB2312"/>
          <w:sz w:val="32"/>
          <w:szCs w:val="32"/>
          <w:u w:val="none"/>
        </w:rPr>
        <w:tab/>
      </w:r>
      <w:r>
        <w:rPr>
          <w:rStyle w:val="38"/>
          <w:rFonts w:hint="eastAsia" w:eastAsia="方正小标宋简体"/>
          <w:color w:val="000000" w:themeColor="text1"/>
          <w:sz w:val="32"/>
          <w:szCs w:val="32"/>
          <w:u w:val="none"/>
          <w14:textFill>
            <w14:solidFill>
              <w14:schemeClr w14:val="tx1"/>
            </w14:solidFill>
          </w14:textFill>
        </w:rPr>
        <w:t>5</w:t>
      </w:r>
      <w:r>
        <w:rPr>
          <w:rStyle w:val="38"/>
          <w:rFonts w:hint="eastAsia"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"_Toc33798937" </w:instrText>
      </w:r>
      <w:r>
        <w:fldChar w:fldCharType="separate"/>
      </w:r>
      <w:r>
        <w:rPr>
          <w:rStyle w:val="38"/>
          <w:rFonts w:hint="eastAsia" w:ascii="楷体_GB2312"/>
          <w:sz w:val="32"/>
          <w:szCs w:val="32"/>
          <w:u w:val="none"/>
        </w:rPr>
        <w:t>（五）其他提示</w:t>
      </w:r>
      <w:r>
        <w:rPr>
          <w:rStyle w:val="38"/>
          <w:rFonts w:hint="eastAsia" w:ascii="楷体_GB2312"/>
          <w:sz w:val="32"/>
          <w:szCs w:val="32"/>
          <w:u w:val="none"/>
        </w:rPr>
        <w:tab/>
      </w:r>
      <w:r>
        <w:rPr>
          <w:rStyle w:val="38"/>
          <w:rFonts w:eastAsia="方正小标宋简体"/>
          <w:color w:val="000000" w:themeColor="text1"/>
          <w:sz w:val="32"/>
          <w:szCs w:val="32"/>
          <w:u w:val="none"/>
          <w14:textFill>
            <w14:solidFill>
              <w14:schemeClr w14:val="tx1"/>
            </w14:solidFill>
          </w14:textFill>
        </w:rPr>
        <w:t>10</w:t>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296"/>
        </w:tabs>
        <w:spacing w:line="560" w:lineRule="exact"/>
        <w:ind w:left="0" w:leftChars="0" w:firstLine="0" w:firstLineChars="0"/>
        <w:jc w:val="center"/>
        <w:rPr>
          <w:rStyle w:val="38"/>
          <w:rFonts w:eastAsia="方正小标宋简体"/>
          <w:color w:val="000000" w:themeColor="text1"/>
          <w:sz w:val="32"/>
          <w:szCs w:val="32"/>
          <w:u w:val="none"/>
          <w14:textFill>
            <w14:solidFill>
              <w14:schemeClr w14:val="tx1"/>
            </w14:solidFill>
          </w14:textFill>
        </w:rPr>
      </w:pPr>
      <w:r>
        <w:fldChar w:fldCharType="begin"/>
      </w:r>
      <w:r>
        <w:instrText xml:space="preserve"> HYPERLINK \l "_Toc33798938" </w:instrText>
      </w:r>
      <w:r>
        <w:fldChar w:fldCharType="separate"/>
      </w:r>
      <w:r>
        <w:rPr>
          <w:rStyle w:val="38"/>
          <w:rFonts w:eastAsia="方正小标宋简体"/>
          <w:color w:val="000000" w:themeColor="text1"/>
          <w:sz w:val="32"/>
          <w:szCs w:val="32"/>
          <w:u w:val="none"/>
          <w14:textFill>
            <w14:solidFill>
              <w14:schemeClr w14:val="tx1"/>
            </w14:solidFill>
          </w14:textFill>
        </w:rPr>
        <w:t>五、受理审查决定</w:t>
      </w:r>
      <w:r>
        <w:rPr>
          <w:rStyle w:val="38"/>
          <w:rFonts w:eastAsia="方正小标宋简体"/>
          <w:color w:val="000000" w:themeColor="text1"/>
          <w:sz w:val="32"/>
          <w:szCs w:val="32"/>
          <w:u w:val="none"/>
          <w14:textFill>
            <w14:solidFill>
              <w14:schemeClr w14:val="tx1"/>
            </w14:solidFill>
          </w14:textFill>
        </w:rPr>
        <w:tab/>
      </w:r>
      <w:r>
        <w:rPr>
          <w:rStyle w:val="38"/>
          <w:rFonts w:eastAsia="方正小标宋简体"/>
          <w:color w:val="000000" w:themeColor="text1"/>
          <w:sz w:val="32"/>
          <w:szCs w:val="32"/>
          <w:u w:val="none"/>
          <w14:textFill>
            <w14:solidFill>
              <w14:schemeClr w14:val="tx1"/>
            </w14:solidFill>
          </w14:textFill>
        </w:rPr>
        <w:t>11</w:t>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"_Toc33798939" </w:instrText>
      </w:r>
      <w:r>
        <w:fldChar w:fldCharType="separate"/>
      </w:r>
      <w:r>
        <w:rPr>
          <w:rStyle w:val="38"/>
          <w:rFonts w:hint="eastAsia" w:ascii="楷体_GB2312"/>
          <w:sz w:val="32"/>
          <w:szCs w:val="32"/>
          <w:u w:val="none"/>
        </w:rPr>
        <w:t>（一）受理</w:t>
      </w:r>
      <w:r>
        <w:rPr>
          <w:rStyle w:val="38"/>
          <w:rFonts w:hint="eastAsia" w:ascii="楷体_GB2312"/>
          <w:sz w:val="32"/>
          <w:szCs w:val="32"/>
          <w:u w:val="none"/>
        </w:rPr>
        <w:tab/>
      </w:r>
      <w:r>
        <w:rPr>
          <w:rStyle w:val="38"/>
          <w:rFonts w:eastAsia="方正小标宋简体"/>
          <w:color w:val="000000" w:themeColor="text1"/>
          <w:sz w:val="32"/>
          <w:szCs w:val="32"/>
          <w:u w:val="none"/>
          <w14:textFill>
            <w14:solidFill>
              <w14:schemeClr w14:val="tx1"/>
            </w14:solidFill>
          </w14:textFill>
        </w:rPr>
        <w:t>11</w:t>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"_Toc33798940" </w:instrText>
      </w:r>
      <w:r>
        <w:fldChar w:fldCharType="separate"/>
      </w:r>
      <w:r>
        <w:rPr>
          <w:rStyle w:val="38"/>
          <w:rFonts w:hint="eastAsia" w:ascii="楷体_GB2312"/>
          <w:sz w:val="32"/>
          <w:szCs w:val="32"/>
          <w:u w:val="none"/>
        </w:rPr>
        <w:t>（二）补正</w:t>
      </w:r>
      <w:r>
        <w:rPr>
          <w:rStyle w:val="38"/>
          <w:rFonts w:hint="eastAsia" w:ascii="楷体_GB2312"/>
          <w:sz w:val="32"/>
          <w:szCs w:val="32"/>
          <w:u w:val="none"/>
        </w:rPr>
        <w:tab/>
      </w:r>
      <w:r>
        <w:rPr>
          <w:rStyle w:val="38"/>
          <w:rFonts w:eastAsia="方正小标宋简体"/>
          <w:color w:val="000000" w:themeColor="text1"/>
          <w:sz w:val="32"/>
          <w:szCs w:val="32"/>
          <w:u w:val="none"/>
          <w14:textFill>
            <w14:solidFill>
              <w14:schemeClr w14:val="tx1"/>
            </w14:solidFill>
          </w14:textFill>
        </w:rPr>
        <w:t>11</w:t>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"_Toc33798940" </w:instrText>
      </w:r>
      <w:r>
        <w:fldChar w:fldCharType="separate"/>
      </w:r>
      <w:r>
        <w:rPr>
          <w:rStyle w:val="38"/>
          <w:rFonts w:hint="eastAsia" w:ascii="楷体_GB2312"/>
          <w:sz w:val="32"/>
          <w:szCs w:val="32"/>
          <w:u w:val="none"/>
        </w:rPr>
        <w:t>（三）不予受理</w:t>
      </w:r>
      <w:r>
        <w:rPr>
          <w:rStyle w:val="38"/>
          <w:rFonts w:hint="eastAsia" w:ascii="楷体_GB2312"/>
          <w:sz w:val="32"/>
          <w:szCs w:val="32"/>
          <w:u w:val="none"/>
        </w:rPr>
        <w:tab/>
      </w:r>
      <w:r>
        <w:rPr>
          <w:rStyle w:val="38"/>
          <w:rFonts w:eastAsia="方正小标宋简体"/>
          <w:color w:val="000000" w:themeColor="text1"/>
          <w:sz w:val="32"/>
          <w:szCs w:val="32"/>
          <w:u w:val="none"/>
          <w14:textFill>
            <w14:solidFill>
              <w14:schemeClr w14:val="tx1"/>
            </w14:solidFill>
          </w14:textFill>
        </w:rPr>
        <w:t>11</w:t>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320"/>
        </w:tabs>
        <w:spacing w:line="560" w:lineRule="exact"/>
        <w:ind w:left="0" w:leftChars="0" w:firstLine="420"/>
        <w:jc w:val="center"/>
        <w:rPr>
          <w:rStyle w:val="38"/>
          <w:rFonts w:ascii="楷体_GB2312"/>
          <w:sz w:val="32"/>
          <w:szCs w:val="32"/>
          <w:u w:val="none"/>
        </w:rPr>
      </w:pPr>
      <w:r>
        <w:fldChar w:fldCharType="begin"/>
      </w:r>
      <w:r>
        <w:instrText xml:space="preserve"> HYPERLINK \l "_Toc33798941" </w:instrText>
      </w:r>
      <w:r>
        <w:fldChar w:fldCharType="separate"/>
      </w:r>
      <w:r>
        <w:rPr>
          <w:rStyle w:val="38"/>
          <w:rFonts w:hint="eastAsia" w:ascii="楷体_GB2312"/>
          <w:sz w:val="32"/>
          <w:szCs w:val="32"/>
          <w:u w:val="none"/>
        </w:rPr>
        <w:t>（四）受理流程图</w:t>
      </w:r>
      <w:r>
        <w:rPr>
          <w:rStyle w:val="38"/>
          <w:rFonts w:hint="eastAsia" w:ascii="楷体_GB2312"/>
          <w:sz w:val="32"/>
          <w:szCs w:val="32"/>
          <w:u w:val="none"/>
        </w:rPr>
        <w:tab/>
      </w:r>
      <w:r>
        <w:rPr>
          <w:rStyle w:val="38"/>
          <w:rFonts w:eastAsia="方正小标宋简体"/>
          <w:color w:val="000000" w:themeColor="text1"/>
          <w:sz w:val="32"/>
          <w:szCs w:val="32"/>
          <w:u w:val="none"/>
          <w14:textFill>
            <w14:solidFill>
              <w14:schemeClr w14:val="tx1"/>
            </w14:solidFill>
          </w14:textFill>
        </w:rPr>
        <w:t>11</w:t>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296"/>
        </w:tabs>
        <w:spacing w:line="560" w:lineRule="exact"/>
        <w:ind w:left="0" w:leftChars="0" w:firstLine="0" w:firstLineChars="0"/>
        <w:jc w:val="center"/>
        <w:rPr>
          <w:rStyle w:val="38"/>
          <w:rFonts w:eastAsia="方正小标宋简体"/>
          <w:color w:val="000000" w:themeColor="text1"/>
          <w:sz w:val="32"/>
          <w:szCs w:val="32"/>
          <w:u w:val="none"/>
          <w14:textFill>
            <w14:solidFill>
              <w14:schemeClr w14:val="tx1"/>
            </w14:solidFill>
          </w14:textFill>
        </w:rPr>
      </w:pPr>
      <w:r>
        <w:fldChar w:fldCharType="begin"/>
      </w:r>
      <w:r>
        <w:instrText xml:space="preserve"> HYPERLINK \l "_Toc33798942" </w:instrText>
      </w:r>
      <w:r>
        <w:fldChar w:fldCharType="separate"/>
      </w:r>
      <w:r>
        <w:rPr>
          <w:rStyle w:val="38"/>
          <w:rFonts w:eastAsia="方正小标宋简体"/>
          <w:color w:val="000000" w:themeColor="text1"/>
          <w:sz w:val="32"/>
          <w:szCs w:val="32"/>
          <w:u w:val="none"/>
          <w14:textFill>
            <w14:solidFill>
              <w14:schemeClr w14:val="tx1"/>
            </w14:solidFill>
          </w14:textFill>
        </w:rPr>
        <w:t>六、其他</w:t>
      </w:r>
      <w:r>
        <w:rPr>
          <w:rStyle w:val="38"/>
          <w:rFonts w:eastAsia="方正小标宋简体"/>
          <w:color w:val="000000" w:themeColor="text1"/>
          <w:sz w:val="32"/>
          <w:szCs w:val="32"/>
          <w:u w:val="none"/>
          <w14:textFill>
            <w14:solidFill>
              <w14:schemeClr w14:val="tx1"/>
            </w14:solidFill>
          </w14:textFill>
        </w:rPr>
        <w:tab/>
      </w:r>
      <w:r>
        <w:rPr>
          <w:rStyle w:val="38"/>
          <w:rFonts w:eastAsia="方正小标宋简体"/>
          <w:color w:val="000000" w:themeColor="text1"/>
          <w:sz w:val="32"/>
          <w:szCs w:val="32"/>
          <w:u w:val="none"/>
          <w14:textFill>
            <w14:solidFill>
              <w14:schemeClr w14:val="tx1"/>
            </w14:solidFill>
          </w14:textFill>
        </w:rPr>
        <w:t>12</w:t>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296"/>
        </w:tabs>
        <w:spacing w:line="560" w:lineRule="exact"/>
        <w:ind w:left="0" w:leftChars="0" w:firstLine="0" w:firstLineChars="0"/>
        <w:jc w:val="center"/>
        <w:rPr>
          <w:rStyle w:val="38"/>
          <w:rFonts w:eastAsia="方正小标宋简体"/>
          <w:color w:val="000000" w:themeColor="text1"/>
          <w:sz w:val="32"/>
          <w:szCs w:val="32"/>
          <w:u w:val="none"/>
          <w14:textFill>
            <w14:solidFill>
              <w14:schemeClr w14:val="tx1"/>
            </w14:solidFill>
          </w14:textFill>
        </w:rPr>
      </w:pPr>
      <w:r>
        <w:fldChar w:fldCharType="begin"/>
      </w:r>
      <w:r>
        <w:instrText xml:space="preserve"> HYPERLINK \l "_Toc33798943" </w:instrText>
      </w:r>
      <w:r>
        <w:fldChar w:fldCharType="separate"/>
      </w:r>
      <w:r>
        <w:rPr>
          <w:rStyle w:val="38"/>
          <w:rFonts w:eastAsia="方正小标宋简体"/>
          <w:color w:val="000000" w:themeColor="text1"/>
          <w:sz w:val="32"/>
          <w:szCs w:val="32"/>
          <w:u w:val="none"/>
          <w14:textFill>
            <w14:solidFill>
              <w14:schemeClr w14:val="tx1"/>
            </w14:solidFill>
          </w14:textFill>
        </w:rPr>
        <w:t>七、附件</w:t>
      </w:r>
      <w:r>
        <w:rPr>
          <w:rStyle w:val="38"/>
          <w:rFonts w:eastAsia="方正小标宋简体"/>
          <w:color w:val="000000" w:themeColor="text1"/>
          <w:sz w:val="32"/>
          <w:szCs w:val="32"/>
          <w:u w:val="none"/>
          <w14:textFill>
            <w14:solidFill>
              <w14:schemeClr w14:val="tx1"/>
            </w14:solidFill>
          </w14:textFill>
        </w:rPr>
        <w:fldChar w:fldCharType="end"/>
      </w:r>
      <w:r>
        <w:rPr>
          <w:rStyle w:val="38"/>
          <w:rFonts w:eastAsia="方正小标宋简体"/>
          <w:color w:val="000000" w:themeColor="text1"/>
          <w:sz w:val="32"/>
          <w:szCs w:val="32"/>
          <w:u w:val="none"/>
          <w14:textFill>
            <w14:solidFill>
              <w14:schemeClr w14:val="tx1"/>
            </w14:solidFill>
          </w14:textFill>
        </w:rPr>
        <w:tab/>
      </w:r>
      <w:r>
        <w:rPr>
          <w:rStyle w:val="38"/>
          <w:rFonts w:eastAsia="方正小标宋简体"/>
          <w:color w:val="000000" w:themeColor="text1"/>
          <w:sz w:val="32"/>
          <w:szCs w:val="32"/>
          <w:u w:val="none"/>
          <w14:textFill>
            <w14:solidFill>
              <w14:schemeClr w14:val="tx1"/>
            </w14:solidFill>
          </w14:textFill>
        </w:rPr>
        <w:t>12</w:t>
      </w:r>
    </w:p>
    <w:p>
      <w:pPr>
        <w:pStyle w:val="19"/>
        <w:widowControl w:val="0"/>
        <w:tabs>
          <w:tab w:val="right" w:leader="dot" w:pos="8296"/>
        </w:tabs>
        <w:spacing w:line="560" w:lineRule="exact"/>
        <w:ind w:left="0" w:leftChars="0" w:firstLine="640"/>
        <w:jc w:val="center"/>
        <w:rPr>
          <w:rStyle w:val="38"/>
          <w:rFonts w:ascii="楷体_GB2312"/>
          <w:sz w:val="32"/>
          <w:szCs w:val="32"/>
          <w:u w:val="none"/>
        </w:rPr>
      </w:pPr>
      <w:r>
        <w:rPr>
          <w:rStyle w:val="38"/>
          <w:rFonts w:hint="eastAsia" w:ascii="楷体_GB2312"/>
          <w:sz w:val="32"/>
          <w:szCs w:val="32"/>
          <w:u w:val="none"/>
        </w:rPr>
        <w:t>1．</w:t>
      </w:r>
      <w:r>
        <w:fldChar w:fldCharType="begin"/>
      </w:r>
      <w:r>
        <w:instrText xml:space="preserve"> HYPERLINK \l "_Toc33798944" </w:instrText>
      </w:r>
      <w:r>
        <w:fldChar w:fldCharType="separate"/>
      </w:r>
      <w:r>
        <w:rPr>
          <w:rStyle w:val="38"/>
          <w:rFonts w:hint="eastAsia" w:ascii="楷体_GB2312"/>
          <w:sz w:val="32"/>
          <w:szCs w:val="32"/>
          <w:u w:val="none"/>
        </w:rPr>
        <w:t>治疗用生物制品注册申报资料自查表</w:t>
      </w:r>
      <w:r>
        <w:rPr>
          <w:rStyle w:val="38"/>
          <w:rFonts w:hint="eastAsia" w:ascii="楷体_GB2312"/>
          <w:sz w:val="32"/>
          <w:szCs w:val="32"/>
          <w:u w:val="none"/>
        </w:rPr>
        <w:tab/>
      </w:r>
      <w:r>
        <w:rPr>
          <w:rStyle w:val="38"/>
          <w:rFonts w:eastAsia="方正小标宋简体"/>
          <w:color w:val="000000" w:themeColor="text1"/>
          <w:sz w:val="32"/>
          <w:szCs w:val="32"/>
          <w:u w:val="none"/>
          <w14:textFill>
            <w14:solidFill>
              <w14:schemeClr w14:val="tx1"/>
            </w14:solidFill>
          </w14:textFill>
        </w:rPr>
        <w:t>13</w:t>
      </w:r>
      <w:r>
        <w:rPr>
          <w:rStyle w:val="38"/>
          <w:rFonts w:eastAsia="方正小标宋简体"/>
          <w:color w:val="000000" w:themeColor="text1"/>
          <w:sz w:val="32"/>
          <w:szCs w:val="32"/>
          <w:u w:val="none"/>
          <w14:textFill>
            <w14:solidFill>
              <w14:schemeClr w14:val="tx1"/>
            </w14:solidFill>
          </w14:textFill>
        </w:rPr>
        <w:fldChar w:fldCharType="end"/>
      </w:r>
    </w:p>
    <w:p>
      <w:pPr>
        <w:pStyle w:val="19"/>
        <w:widowControl w:val="0"/>
        <w:tabs>
          <w:tab w:val="right" w:leader="dot" w:pos="8296"/>
        </w:tabs>
        <w:spacing w:line="560" w:lineRule="exact"/>
        <w:ind w:left="0" w:leftChars="0" w:firstLine="640"/>
        <w:jc w:val="center"/>
        <w:rPr>
          <w:rStyle w:val="38"/>
          <w:rFonts w:ascii="楷体_GB2312"/>
          <w:sz w:val="32"/>
          <w:szCs w:val="32"/>
          <w:u w:val="none"/>
        </w:rPr>
      </w:pPr>
      <w:r>
        <w:rPr>
          <w:rStyle w:val="38"/>
          <w:rFonts w:hint="eastAsia" w:ascii="楷体_GB2312"/>
          <w:sz w:val="32"/>
          <w:szCs w:val="32"/>
          <w:u w:val="none"/>
        </w:rPr>
        <w:t>2．参考目录</w:t>
      </w:r>
      <w:r>
        <w:rPr>
          <w:rStyle w:val="38"/>
          <w:rFonts w:hint="eastAsia" w:ascii="楷体_GB2312"/>
          <w:sz w:val="32"/>
          <w:szCs w:val="32"/>
          <w:u w:val="none"/>
        </w:rPr>
        <w:tab/>
      </w:r>
      <w:r>
        <w:rPr>
          <w:rStyle w:val="38"/>
          <w:rFonts w:hint="eastAsia" w:eastAsia="方正小标宋简体"/>
          <w:color w:val="000000" w:themeColor="text1"/>
          <w:sz w:val="32"/>
          <w:szCs w:val="32"/>
          <w:u w:val="none"/>
          <w14:textFill>
            <w14:solidFill>
              <w14:schemeClr w14:val="tx1"/>
            </w14:solidFill>
          </w14:textFill>
        </w:rPr>
        <w:t>19</w:t>
      </w:r>
    </w:p>
    <w:p>
      <w:pPr>
        <w:pStyle w:val="19"/>
        <w:widowControl w:val="0"/>
        <w:tabs>
          <w:tab w:val="right" w:leader="dot" w:pos="8296"/>
        </w:tabs>
        <w:spacing w:line="560" w:lineRule="exact"/>
        <w:ind w:left="0" w:leftChars="0" w:firstLine="0" w:firstLineChars="0"/>
        <w:jc w:val="center"/>
        <w:rPr>
          <w:b/>
        </w:rPr>
        <w:sectPr>
          <w:pgSz w:w="11906" w:h="16838"/>
          <w:pgMar w:top="1440" w:right="1800" w:bottom="1440" w:left="1800" w:header="851" w:footer="992" w:gutter="0"/>
          <w:cols w:space="425" w:num="1"/>
          <w:docGrid w:type="lines" w:linePitch="312" w:charSpace="0"/>
        </w:sectPr>
      </w:pPr>
      <w:r>
        <w:rPr>
          <w:rStyle w:val="38"/>
          <w:rFonts w:eastAsia="方正小标宋简体"/>
          <w:color w:val="000000" w:themeColor="text1"/>
          <w:sz w:val="32"/>
          <w:szCs w:val="32"/>
          <w:u w:val="none"/>
          <w14:textFill>
            <w14:solidFill>
              <w14:schemeClr w14:val="tx1"/>
            </w14:solidFill>
          </w14:textFill>
        </w:rPr>
        <w:fldChar w:fldCharType="end"/>
      </w:r>
    </w:p>
    <w:p>
      <w:pPr>
        <w:widowControl w:val="0"/>
        <w:spacing w:line="560" w:lineRule="exact"/>
        <w:ind w:firstLine="0" w:firstLineChars="0"/>
        <w:rPr>
          <w:rFonts w:eastAsia="方正小标宋简体"/>
          <w:color w:val="auto"/>
          <w:sz w:val="28"/>
          <w:szCs w:val="28"/>
          <w:lang w:eastAsia="zh-CN"/>
        </w:rPr>
      </w:pPr>
    </w:p>
    <w:p>
      <w:pPr>
        <w:widowControl w:val="0"/>
        <w:snapToGrid w:val="0"/>
        <w:spacing w:line="560" w:lineRule="exact"/>
        <w:ind w:firstLine="0" w:firstLineChars="0"/>
        <w:jc w:val="center"/>
        <w:rPr>
          <w:rFonts w:eastAsia="方正小标宋简体"/>
          <w:color w:val="auto"/>
          <w:sz w:val="44"/>
          <w:szCs w:val="44"/>
          <w:lang w:eastAsia="zh-CN"/>
        </w:rPr>
      </w:pPr>
      <w:r>
        <w:rPr>
          <w:rFonts w:eastAsia="方正小标宋简体"/>
          <w:color w:val="auto"/>
          <w:sz w:val="44"/>
          <w:szCs w:val="44"/>
          <w:lang w:eastAsia="zh-CN"/>
        </w:rPr>
        <w:t>生物制品注册受理审查指南（征求意见稿）</w:t>
      </w:r>
    </w:p>
    <w:p>
      <w:pPr>
        <w:widowControl w:val="0"/>
        <w:snapToGrid w:val="0"/>
        <w:spacing w:line="560" w:lineRule="exact"/>
        <w:ind w:firstLine="0" w:firstLineChars="0"/>
        <w:jc w:val="center"/>
        <w:rPr>
          <w:rFonts w:eastAsia="方正小标宋简体"/>
          <w:color w:val="auto"/>
          <w:sz w:val="44"/>
          <w:szCs w:val="44"/>
          <w:lang w:eastAsia="zh-CN"/>
        </w:rPr>
      </w:pPr>
      <w:r>
        <w:rPr>
          <w:rFonts w:eastAsia="方正小标宋简体"/>
          <w:color w:val="auto"/>
          <w:sz w:val="44"/>
          <w:szCs w:val="44"/>
          <w:lang w:eastAsia="zh-CN"/>
        </w:rPr>
        <w:t>第二部分 治疗用生物制品</w:t>
      </w:r>
    </w:p>
    <w:p>
      <w:pPr>
        <w:widowControl w:val="0"/>
        <w:snapToGrid w:val="0"/>
        <w:spacing w:line="560" w:lineRule="exact"/>
        <w:ind w:firstLine="0" w:firstLineChars="0"/>
        <w:jc w:val="center"/>
        <w:rPr>
          <w:rFonts w:eastAsia="方正小标宋简体"/>
          <w:color w:val="auto"/>
          <w:sz w:val="44"/>
          <w:szCs w:val="44"/>
          <w:lang w:eastAsia="zh-CN"/>
        </w:rPr>
      </w:pPr>
    </w:p>
    <w:p>
      <w:pPr>
        <w:pStyle w:val="5"/>
        <w:keepNext w:val="0"/>
        <w:keepLines w:val="0"/>
        <w:widowControl w:val="0"/>
        <w:overflowPunct w:val="0"/>
        <w:spacing w:line="560" w:lineRule="exact"/>
        <w:ind w:firstLine="593"/>
      </w:pPr>
      <w:bookmarkStart w:id="0" w:name="_Toc499317610"/>
      <w:r>
        <w:t>一、适用范围</w:t>
      </w:r>
      <w:bookmarkEnd w:id="0"/>
    </w:p>
    <w:p>
      <w:pPr>
        <w:widowControl w:val="0"/>
        <w:overflowPunct w:val="0"/>
        <w:spacing w:line="560" w:lineRule="exact"/>
        <w:ind w:firstLine="593"/>
        <w:rPr>
          <w:color w:val="auto"/>
          <w:lang w:eastAsia="zh-CN"/>
        </w:rPr>
      </w:pPr>
      <w:r>
        <w:rPr>
          <w:color w:val="auto"/>
          <w:lang w:eastAsia="zh-CN"/>
        </w:rPr>
        <w:t>治疗用生物制品临床试验申请/上市许可申请。</w:t>
      </w:r>
    </w:p>
    <w:p>
      <w:pPr>
        <w:pStyle w:val="5"/>
        <w:keepNext w:val="0"/>
        <w:keepLines w:val="0"/>
        <w:widowControl w:val="0"/>
        <w:overflowPunct w:val="0"/>
        <w:spacing w:line="560" w:lineRule="exact"/>
        <w:ind w:firstLine="593"/>
      </w:pPr>
      <w:bookmarkStart w:id="1" w:name="_Toc33798928"/>
      <w:r>
        <w:t>二、受理部门</w:t>
      </w:r>
      <w:bookmarkEnd w:id="1"/>
    </w:p>
    <w:p>
      <w:pPr>
        <w:spacing w:line="560" w:lineRule="exact"/>
        <w:ind w:firstLine="593"/>
        <w:rPr>
          <w:color w:val="auto"/>
          <w:lang w:eastAsia="zh-CN"/>
        </w:rPr>
      </w:pPr>
      <w:r>
        <w:rPr>
          <w:color w:val="auto"/>
          <w:lang w:eastAsia="zh-CN"/>
        </w:rPr>
        <w:t>由国家药品监督管理局药品审评中心受理。</w:t>
      </w:r>
      <w:bookmarkStart w:id="2" w:name="_Toc499317611"/>
    </w:p>
    <w:p>
      <w:pPr>
        <w:pStyle w:val="5"/>
        <w:keepNext w:val="0"/>
        <w:keepLines w:val="0"/>
        <w:widowControl w:val="0"/>
        <w:overflowPunct w:val="0"/>
        <w:spacing w:line="560" w:lineRule="exact"/>
        <w:ind w:firstLine="593"/>
      </w:pPr>
      <w:bookmarkStart w:id="3" w:name="_Toc33798929"/>
      <w:r>
        <w:t>三、资料基本要求</w:t>
      </w:r>
      <w:bookmarkEnd w:id="3"/>
    </w:p>
    <w:p>
      <w:pPr>
        <w:widowControl w:val="0"/>
        <w:overflowPunct w:val="0"/>
        <w:spacing w:line="560" w:lineRule="exact"/>
        <w:ind w:firstLine="593"/>
        <w:rPr>
          <w:color w:val="auto"/>
          <w:lang w:eastAsia="zh-CN"/>
        </w:rPr>
      </w:pPr>
      <w:r>
        <w:rPr>
          <w:color w:val="auto"/>
          <w:lang w:eastAsia="zh-CN"/>
        </w:rPr>
        <w:t>按照《药品注册管理办法》及《生物制品注册分类及申报资料要求》的规定，提供符合要求的申报资料。申报资料应根据现行版《M4：人用药物注册申请通用技术文档（CTD）》（以下简称CTD）格式整理，目录及项目编号不能改变，对应项目无相关信息或研究资料，项目编号和名称也应保留，可在项下注明“不适用”并说明理由。</w:t>
      </w:r>
    </w:p>
    <w:p>
      <w:pPr>
        <w:pStyle w:val="6"/>
        <w:keepNext w:val="0"/>
        <w:keepLines w:val="0"/>
        <w:widowControl w:val="0"/>
        <w:overflowPunct w:val="0"/>
        <w:spacing w:line="560" w:lineRule="exact"/>
        <w:ind w:firstLine="593"/>
      </w:pPr>
      <w:bookmarkStart w:id="4" w:name="_Toc33798930"/>
      <w:r>
        <w:t>（一）申请表的整理</w:t>
      </w:r>
      <w:bookmarkEnd w:id="4"/>
    </w:p>
    <w:p>
      <w:pPr>
        <w:widowControl w:val="0"/>
        <w:overflowPunct w:val="0"/>
        <w:spacing w:line="560" w:lineRule="exact"/>
        <w:ind w:firstLine="593"/>
        <w:rPr>
          <w:color w:val="auto"/>
          <w:lang w:eastAsia="zh-CN"/>
        </w:rPr>
      </w:pPr>
      <w:r>
        <w:rPr>
          <w:color w:val="auto"/>
          <w:lang w:eastAsia="zh-CN"/>
        </w:rPr>
        <w:t>药品注册申请表、申报资料自查表、小型微型企业收费优惠申请表（如适用）与申报资料份数一致，其中至少两份为原件；填写应当准确、完整、规范，不得手写或涂改，并应符合填表说明的要求。</w:t>
      </w:r>
    </w:p>
    <w:p>
      <w:pPr>
        <w:widowControl w:val="0"/>
        <w:overflowPunct w:val="0"/>
        <w:spacing w:line="560" w:lineRule="exact"/>
        <w:ind w:firstLine="593"/>
        <w:outlineLvl w:val="3"/>
        <w:rPr>
          <w:rFonts w:eastAsia="楷体_GB2312"/>
          <w:color w:val="auto"/>
          <w:lang w:eastAsia="zh-CN"/>
        </w:rPr>
      </w:pPr>
      <w:bookmarkStart w:id="5" w:name="_Toc33798931"/>
      <w:r>
        <w:rPr>
          <w:rFonts w:eastAsia="楷体_GB2312"/>
          <w:color w:val="auto"/>
          <w:lang w:eastAsia="zh-CN"/>
        </w:rPr>
        <w:t>（二）申报资料的整理</w:t>
      </w:r>
      <w:bookmarkEnd w:id="5"/>
    </w:p>
    <w:p>
      <w:pPr>
        <w:widowControl w:val="0"/>
        <w:overflowPunct w:val="0"/>
        <w:spacing w:line="560" w:lineRule="exact"/>
        <w:ind w:firstLine="593"/>
        <w:rPr>
          <w:color w:val="auto"/>
          <w:lang w:eastAsia="zh-CN"/>
        </w:rPr>
      </w:pPr>
      <w:r>
        <w:rPr>
          <w:color w:val="auto"/>
          <w:lang w:eastAsia="zh-CN"/>
        </w:rPr>
        <w:t>2套完整申请资料（至少1套为原件）+1套综述资料（应包含模块一、模块二），每套装入相应的申请表（综述资料中的申请表应为原件），具体要求详见《申报资料基本要求》。</w:t>
      </w:r>
    </w:p>
    <w:bookmarkEnd w:id="2"/>
    <w:p>
      <w:pPr>
        <w:pStyle w:val="5"/>
        <w:keepNext w:val="0"/>
        <w:keepLines w:val="0"/>
        <w:widowControl w:val="0"/>
        <w:overflowPunct w:val="0"/>
        <w:spacing w:line="560" w:lineRule="exact"/>
        <w:ind w:firstLine="593"/>
      </w:pPr>
      <w:bookmarkStart w:id="6" w:name="_Toc33798932"/>
      <w:bookmarkStart w:id="7" w:name="_Toc499317617"/>
      <w:r>
        <w:t>四、形式审查要点</w:t>
      </w:r>
      <w:bookmarkEnd w:id="6"/>
    </w:p>
    <w:bookmarkEnd w:id="7"/>
    <w:p>
      <w:pPr>
        <w:pStyle w:val="6"/>
        <w:keepNext w:val="0"/>
        <w:keepLines w:val="0"/>
        <w:widowControl w:val="0"/>
        <w:overflowPunct w:val="0"/>
        <w:spacing w:line="560" w:lineRule="exact"/>
        <w:ind w:firstLine="593"/>
      </w:pPr>
      <w:bookmarkStart w:id="8" w:name="_Toc33798933"/>
      <w:bookmarkStart w:id="9" w:name="_Toc499317618"/>
      <w:r>
        <w:t>（一）申请事项审查要点</w:t>
      </w:r>
      <w:bookmarkEnd w:id="8"/>
    </w:p>
    <w:p>
      <w:pPr>
        <w:widowControl w:val="0"/>
        <w:spacing w:line="560" w:lineRule="exact"/>
        <w:ind w:firstLine="593"/>
        <w:rPr>
          <w:color w:val="auto"/>
          <w:lang w:eastAsia="zh-CN"/>
        </w:rPr>
      </w:pPr>
      <w:r>
        <w:rPr>
          <w:color w:val="auto"/>
          <w:lang w:eastAsia="zh-CN"/>
        </w:rPr>
        <w:t>1.获准开展药物临床试验的药物拟增加适应症（或者功能主治）的，申请人应当提出新的药物临床试验申请。获准上市的药品增加适应症（或者功能主治）需要开展药物临床试验的，应当提出新的药物临床试验申请。</w:t>
      </w:r>
    </w:p>
    <w:p>
      <w:pPr>
        <w:widowControl w:val="0"/>
        <w:spacing w:line="560" w:lineRule="exact"/>
        <w:ind w:firstLine="593"/>
        <w:rPr>
          <w:color w:val="auto"/>
          <w:lang w:eastAsia="zh-CN"/>
        </w:rPr>
      </w:pPr>
      <w:r>
        <w:rPr>
          <w:color w:val="auto"/>
          <w:lang w:eastAsia="zh-CN"/>
        </w:rPr>
        <w:t>2.药物临床试验终止后，拟继续开展药物临床试验的，应当重新提出药物临床试验申请。药物临床试验申请自获准之日起，三年内未有受试者签署知情同意书的，该药物临床试验许可自行失效；仍需实施药物临床试验的，应当重新申请。</w:t>
      </w:r>
    </w:p>
    <w:p>
      <w:pPr>
        <w:widowControl w:val="0"/>
        <w:spacing w:line="560" w:lineRule="exact"/>
        <w:ind w:firstLine="593"/>
        <w:rPr>
          <w:color w:val="auto"/>
          <w:lang w:eastAsia="zh-CN"/>
        </w:rPr>
      </w:pPr>
      <w:r>
        <w:rPr>
          <w:color w:val="auto"/>
          <w:lang w:eastAsia="zh-CN"/>
        </w:rPr>
        <w:t>3．药物临床试验申请和药品上市许可申请按所申报的适应症管理，同一药物不同适应症应分别提交注册申请（生物类似药除外）。对于同一适应症涉及多个临床试验方案的申请，需在申请表其他特别申明事项中简要说明。</w:t>
      </w:r>
    </w:p>
    <w:p>
      <w:pPr>
        <w:widowControl w:val="0"/>
        <w:spacing w:line="560" w:lineRule="exact"/>
        <w:ind w:firstLine="593"/>
        <w:rPr>
          <w:color w:val="auto"/>
          <w:lang w:eastAsia="zh-CN"/>
        </w:rPr>
      </w:pPr>
      <w:r>
        <w:rPr>
          <w:color w:val="auto"/>
          <w:lang w:eastAsia="zh-CN"/>
        </w:rPr>
        <w:t>4. 对于申报联合用药生物制品的，如联合的单药未上市，应分别按照新的注册申请申报，并互相关联。</w:t>
      </w:r>
    </w:p>
    <w:p>
      <w:pPr>
        <w:widowControl w:val="0"/>
        <w:spacing w:line="560" w:lineRule="exact"/>
        <w:ind w:firstLine="593"/>
        <w:rPr>
          <w:color w:val="auto"/>
          <w:lang w:eastAsia="zh-CN"/>
        </w:rPr>
      </w:pPr>
      <w:r>
        <w:rPr>
          <w:color w:val="auto"/>
          <w:lang w:eastAsia="zh-CN"/>
        </w:rPr>
        <w:t>5. 生物制品按新药程序申报注册，肌肉注射的普通或者特异性人免疫球蛋白、人血白蛋白等按规定免做临床试验的，可以直接提出上市申请。</w:t>
      </w:r>
    </w:p>
    <w:p>
      <w:pPr>
        <w:widowControl w:val="0"/>
        <w:spacing w:line="560" w:lineRule="exact"/>
        <w:ind w:firstLine="593"/>
        <w:rPr>
          <w:color w:val="auto"/>
          <w:lang w:eastAsia="zh-CN"/>
        </w:rPr>
      </w:pPr>
      <w:r>
        <w:rPr>
          <w:color w:val="auto"/>
          <w:lang w:eastAsia="zh-CN"/>
        </w:rPr>
        <w:t>6. 药品上市许可申请审评期间，发生可能影响药品安全性、有效性和质量可控性的重大变更的，申请人应当撤回原注册申请，补充研究后重新申报。申请人名称变更、注册地址名称变更等不涉及技术审评内容的，应当及时书面告知药品审评中心并提交相关证明性资料。</w:t>
      </w:r>
    </w:p>
    <w:bookmarkEnd w:id="9"/>
    <w:p>
      <w:pPr>
        <w:pStyle w:val="6"/>
        <w:keepNext w:val="0"/>
        <w:keepLines w:val="0"/>
        <w:widowControl w:val="0"/>
        <w:overflowPunct w:val="0"/>
        <w:spacing w:line="560" w:lineRule="exact"/>
        <w:ind w:firstLine="593"/>
      </w:pPr>
      <w:bookmarkStart w:id="10" w:name="_Toc499317619"/>
      <w:r>
        <w:t>（二）沟通交流审查要点</w:t>
      </w:r>
    </w:p>
    <w:p>
      <w:pPr>
        <w:pStyle w:val="6"/>
        <w:keepNext w:val="0"/>
        <w:keepLines w:val="0"/>
        <w:widowControl w:val="0"/>
        <w:overflowPunct w:val="0"/>
        <w:spacing w:line="560" w:lineRule="exact"/>
        <w:ind w:firstLine="593"/>
        <w:rPr>
          <w:rFonts w:eastAsia="仿宋_GB2312"/>
        </w:rPr>
      </w:pPr>
      <w:r>
        <w:rPr>
          <w:rFonts w:eastAsia="仿宋_GB2312"/>
        </w:rPr>
        <w:t>1．申请人在提出新药首次药物临床试验申请之前，应向药审中心提出沟通交流申请。对于在监管体系完善的国家和地区已获准实施临床试验的，申请人可不经沟通交流。对于技术指南明确、药物临床试验有成熟研究经验的，由申请人声明后，申报临床试验前可不进行沟通交流。</w:t>
      </w:r>
    </w:p>
    <w:p>
      <w:pPr>
        <w:pStyle w:val="6"/>
        <w:keepNext w:val="0"/>
        <w:keepLines w:val="0"/>
        <w:widowControl w:val="0"/>
        <w:overflowPunct w:val="0"/>
        <w:spacing w:line="560" w:lineRule="exact"/>
        <w:ind w:firstLine="593"/>
        <w:rPr>
          <w:rFonts w:eastAsia="仿宋_GB2312"/>
        </w:rPr>
      </w:pPr>
      <w:r>
        <w:rPr>
          <w:rFonts w:eastAsia="仿宋_GB2312"/>
        </w:rPr>
        <w:t>2．申请人在提出上市申请之前，就现有研究数据是否支持上市申请审查所需资料要求进行沟通交流。</w:t>
      </w:r>
    </w:p>
    <w:p>
      <w:pPr>
        <w:pStyle w:val="6"/>
        <w:keepNext w:val="0"/>
        <w:keepLines w:val="0"/>
        <w:widowControl w:val="0"/>
        <w:overflowPunct w:val="0"/>
        <w:spacing w:line="560" w:lineRule="exact"/>
        <w:ind w:firstLine="593"/>
        <w:rPr>
          <w:rFonts w:eastAsia="仿宋_GB2312"/>
        </w:rPr>
      </w:pPr>
      <w:r>
        <w:rPr>
          <w:rFonts w:eastAsia="仿宋_GB2312"/>
        </w:rPr>
        <w:t>3．</w:t>
      </w:r>
      <w:r>
        <w:rPr>
          <w:rFonts w:hint="eastAsia" w:eastAsia="仿宋_GB2312"/>
          <w:lang w:eastAsia="zh-CN"/>
        </w:rPr>
        <w:t>申请人</w:t>
      </w:r>
      <w:r>
        <w:rPr>
          <w:rFonts w:eastAsia="仿宋_GB2312"/>
        </w:rPr>
        <w:t>申请沟通交流</w:t>
      </w:r>
      <w:r>
        <w:rPr>
          <w:rFonts w:hint="eastAsia" w:eastAsia="仿宋_GB2312"/>
          <w:lang w:eastAsia="zh-CN"/>
        </w:rPr>
        <w:t>后并获得回复意见</w:t>
      </w:r>
      <w:r>
        <w:rPr>
          <w:rFonts w:eastAsia="仿宋_GB2312"/>
        </w:rPr>
        <w:t>的，应提交与该申请相关的沟通交流编号、沟通交流回复意见，并就回复意见进行逐项答复。</w:t>
      </w:r>
    </w:p>
    <w:p>
      <w:pPr>
        <w:pStyle w:val="6"/>
        <w:keepNext w:val="0"/>
        <w:keepLines w:val="0"/>
        <w:widowControl w:val="0"/>
        <w:overflowPunct w:val="0"/>
        <w:spacing w:line="560" w:lineRule="exact"/>
        <w:ind w:firstLine="593"/>
      </w:pPr>
      <w:bookmarkStart w:id="11" w:name="_Toc33798935"/>
      <w:r>
        <w:t>（三）申请表审查要点</w:t>
      </w:r>
      <w:bookmarkEnd w:id="11"/>
    </w:p>
    <w:p>
      <w:pPr>
        <w:pStyle w:val="6"/>
        <w:keepNext w:val="0"/>
        <w:keepLines w:val="0"/>
        <w:widowControl w:val="0"/>
        <w:overflowPunct w:val="0"/>
        <w:spacing w:line="560" w:lineRule="exact"/>
        <w:ind w:firstLine="593"/>
        <w:rPr>
          <w:rFonts w:eastAsia="仿宋_GB2312"/>
        </w:rPr>
      </w:pPr>
      <w:r>
        <w:rPr>
          <w:rFonts w:eastAsia="仿宋_GB2312"/>
        </w:rPr>
        <w:t>1．药品注册申请表</w:t>
      </w:r>
    </w:p>
    <w:p>
      <w:pPr>
        <w:pStyle w:val="6"/>
        <w:keepNext w:val="0"/>
        <w:keepLines w:val="0"/>
        <w:widowControl w:val="0"/>
        <w:overflowPunct w:val="0"/>
        <w:spacing w:line="560" w:lineRule="exact"/>
        <w:ind w:firstLine="593"/>
        <w:rPr>
          <w:rFonts w:eastAsia="仿宋_GB2312"/>
        </w:rPr>
      </w:pPr>
      <w:r>
        <w:rPr>
          <w:rFonts w:eastAsia="仿宋_GB2312"/>
        </w:rPr>
        <w:t>申请表应按照药品注册申请表填表说明的要求规范填写，填报信息应与证明性文件及申报资料保持一致。</w:t>
      </w:r>
    </w:p>
    <w:p>
      <w:pPr>
        <w:pStyle w:val="6"/>
        <w:keepNext w:val="0"/>
        <w:keepLines w:val="0"/>
        <w:widowControl w:val="0"/>
        <w:overflowPunct w:val="0"/>
        <w:spacing w:line="560" w:lineRule="exact"/>
        <w:ind w:firstLine="593"/>
        <w:rPr>
          <w:rFonts w:eastAsia="仿宋_GB2312"/>
        </w:rPr>
      </w:pPr>
      <w:r>
        <w:rPr>
          <w:rFonts w:eastAsia="仿宋_GB2312"/>
        </w:rPr>
        <w:t>1.1药品加快上市注册程序：按照该申请实际情况勾选。经沟通交流确认后，勾选“优先审评审批程序”的，在提出药品上市许可申请的同时，按照《优先审评审批工作程序》提出优先审评审批申请；勾选“特别审批程序”的，应按照《药品特别审批程序》办理。</w:t>
      </w:r>
    </w:p>
    <w:p>
      <w:pPr>
        <w:pStyle w:val="6"/>
        <w:keepNext w:val="0"/>
        <w:keepLines w:val="0"/>
        <w:widowControl w:val="0"/>
        <w:overflowPunct w:val="0"/>
        <w:spacing w:line="560" w:lineRule="exact"/>
        <w:ind w:firstLine="593"/>
        <w:rPr>
          <w:rFonts w:eastAsia="仿宋_GB2312"/>
        </w:rPr>
      </w:pPr>
      <w:r>
        <w:rPr>
          <w:rFonts w:eastAsia="仿宋_GB2312"/>
        </w:rPr>
        <w:t>1.2申请事项：按照该申请实际申请事项填写。申请临床研究，选临床试验；申请上市，选择上市许可。</w:t>
      </w:r>
    </w:p>
    <w:p>
      <w:pPr>
        <w:pStyle w:val="6"/>
        <w:keepNext w:val="0"/>
        <w:keepLines w:val="0"/>
        <w:widowControl w:val="0"/>
        <w:overflowPunct w:val="0"/>
        <w:spacing w:line="560" w:lineRule="exact"/>
        <w:ind w:firstLine="593"/>
        <w:rPr>
          <w:rFonts w:eastAsia="仿宋_GB2312"/>
        </w:rPr>
      </w:pPr>
      <w:r>
        <w:rPr>
          <w:rFonts w:eastAsia="仿宋_GB2312"/>
        </w:rPr>
        <w:t>1.3药品注册分类：按照《</w:t>
      </w:r>
      <w:r>
        <w:rPr>
          <w:rFonts w:hint="eastAsia" w:eastAsia="仿宋_GB2312"/>
        </w:rPr>
        <w:t>生物制品注册分类及申报资料要求</w:t>
      </w:r>
      <w:r>
        <w:rPr>
          <w:rFonts w:eastAsia="仿宋_GB2312"/>
        </w:rPr>
        <w:t>》治疗用生物制品注册分类要求明确注册分类。</w:t>
      </w:r>
    </w:p>
    <w:p>
      <w:pPr>
        <w:pStyle w:val="6"/>
        <w:keepNext w:val="0"/>
        <w:keepLines w:val="0"/>
        <w:widowControl w:val="0"/>
        <w:overflowPunct w:val="0"/>
        <w:spacing w:line="560" w:lineRule="exact"/>
        <w:ind w:firstLine="593"/>
        <w:rPr>
          <w:rFonts w:eastAsia="仿宋_GB2312"/>
        </w:rPr>
      </w:pPr>
      <w:r>
        <w:rPr>
          <w:rFonts w:eastAsia="仿宋_GB2312"/>
        </w:rPr>
        <w:t>1.4其他事项：同时申请减免临床研究，则选减或免临床研究，并提交减免临床研究的理由及相关资料；符合小型微型企业条件的企业申请收费优惠的，可选小微企业收费优惠。</w:t>
      </w:r>
    </w:p>
    <w:p>
      <w:pPr>
        <w:pStyle w:val="6"/>
        <w:keepNext w:val="0"/>
        <w:keepLines w:val="0"/>
        <w:widowControl w:val="0"/>
        <w:overflowPunct w:val="0"/>
        <w:spacing w:line="560" w:lineRule="exact"/>
        <w:ind w:firstLine="593"/>
        <w:rPr>
          <w:rFonts w:eastAsia="仿宋_GB2312"/>
        </w:rPr>
      </w:pPr>
      <w:r>
        <w:rPr>
          <w:rFonts w:eastAsia="仿宋_GB2312"/>
        </w:rPr>
        <w:t>1.5药品通用名称：未列入国家药品标准或者药品注册标准的，申请人在提出药品上市许可申请时，应当</w:t>
      </w:r>
      <w:r>
        <w:rPr>
          <w:rFonts w:hint="eastAsia" w:eastAsia="仿宋_GB2312"/>
          <w:lang w:eastAsia="zh-CN"/>
        </w:rPr>
        <w:t>在提出上市许可的同时</w:t>
      </w:r>
      <w:r>
        <w:rPr>
          <w:rFonts w:eastAsia="仿宋_GB2312"/>
        </w:rPr>
        <w:t>提出通用名称核准申请</w:t>
      </w:r>
      <w:r>
        <w:rPr>
          <w:rFonts w:hint="eastAsia" w:eastAsia="仿宋_GB2312"/>
          <w:lang w:eastAsia="zh-CN"/>
        </w:rPr>
        <w:t>，并提交相应资料</w:t>
      </w:r>
      <w:r>
        <w:rPr>
          <w:rFonts w:eastAsia="仿宋_GB2312"/>
        </w:rPr>
        <w:t>。</w:t>
      </w:r>
    </w:p>
    <w:p>
      <w:pPr>
        <w:pStyle w:val="6"/>
        <w:keepNext w:val="0"/>
        <w:keepLines w:val="0"/>
        <w:widowControl w:val="0"/>
        <w:overflowPunct w:val="0"/>
        <w:spacing w:line="560" w:lineRule="exact"/>
        <w:ind w:firstLine="593"/>
        <w:rPr>
          <w:rFonts w:eastAsia="仿宋_GB2312"/>
        </w:rPr>
      </w:pPr>
      <w:r>
        <w:rPr>
          <w:rFonts w:eastAsia="仿宋_GB2312"/>
        </w:rPr>
        <w:t>1.6同品种已被受理或同期申报的其他制剂及规格：填写该品种已被受理或同期申报的制剂或不同规格品种的受理号及名称，包括联合用药的制剂受理号及名称。若为完成临床研究申请上市的，需填写原临床申请受理号、临床试验批件号、临床试验登记号。</w:t>
      </w:r>
    </w:p>
    <w:p>
      <w:pPr>
        <w:pStyle w:val="6"/>
        <w:keepNext w:val="0"/>
        <w:keepLines w:val="0"/>
        <w:widowControl w:val="0"/>
        <w:overflowPunct w:val="0"/>
        <w:spacing w:line="560" w:lineRule="exact"/>
        <w:ind w:firstLine="593"/>
        <w:rPr>
          <w:rFonts w:eastAsia="仿宋_GB2312"/>
        </w:rPr>
      </w:pPr>
      <w:r>
        <w:rPr>
          <w:rFonts w:eastAsia="仿宋_GB2312"/>
        </w:rPr>
        <w:t>1.7原/辅料/包材来源：申报药品注册时，须填写所用的辅料、包材的相关信息，应与所提交的证明文件/原料药、药用辅料和药包材登记信息公示平台中相应内容保持一致。</w:t>
      </w:r>
    </w:p>
    <w:p>
      <w:pPr>
        <w:pStyle w:val="6"/>
        <w:keepNext w:val="0"/>
        <w:keepLines w:val="0"/>
        <w:widowControl w:val="0"/>
        <w:overflowPunct w:val="0"/>
        <w:spacing w:line="560" w:lineRule="exact"/>
        <w:ind w:firstLine="593"/>
        <w:rPr>
          <w:rFonts w:eastAsia="仿宋_GB2312"/>
        </w:rPr>
      </w:pPr>
      <w:r>
        <w:rPr>
          <w:rFonts w:eastAsia="仿宋_GB2312"/>
        </w:rPr>
        <w:t>1.8主要适应症或功能主治：简略填写主要适应症或者功能主治，应涵盖申报资料中所申请的适应症信息.适应症分类应与适应症一致。</w:t>
      </w:r>
    </w:p>
    <w:p>
      <w:pPr>
        <w:pStyle w:val="6"/>
        <w:keepNext w:val="0"/>
        <w:keepLines w:val="0"/>
        <w:widowControl w:val="0"/>
        <w:overflowPunct w:val="0"/>
        <w:spacing w:line="560" w:lineRule="exact"/>
        <w:ind w:firstLine="593"/>
        <w:rPr>
          <w:rFonts w:eastAsia="仿宋_GB2312"/>
        </w:rPr>
      </w:pPr>
      <w:r>
        <w:rPr>
          <w:rFonts w:eastAsia="仿宋_GB2312"/>
        </w:rPr>
        <w:t>1.9本次申请为：填写申报品种本次属于第几次申报。简要说明既往申报及审批情况。如申请人自行撤回或因资料不符合审批要求曾被国家药品监督管理局不予批准等情况。原申请审批结束后，方可再行申报。</w:t>
      </w:r>
    </w:p>
    <w:p>
      <w:pPr>
        <w:pStyle w:val="6"/>
        <w:keepNext w:val="0"/>
        <w:keepLines w:val="0"/>
        <w:widowControl w:val="0"/>
        <w:overflowPunct w:val="0"/>
        <w:spacing w:line="560" w:lineRule="exact"/>
        <w:ind w:firstLine="593"/>
        <w:rPr>
          <w:rFonts w:eastAsia="仿宋_GB2312"/>
        </w:rPr>
      </w:pPr>
      <w:r>
        <w:rPr>
          <w:rFonts w:eastAsia="仿宋_GB2312"/>
        </w:rPr>
        <w:t>1.11申请人及委托研究机构</w:t>
      </w:r>
    </w:p>
    <w:p>
      <w:pPr>
        <w:pStyle w:val="6"/>
        <w:keepNext w:val="0"/>
        <w:keepLines w:val="0"/>
        <w:widowControl w:val="0"/>
        <w:overflowPunct w:val="0"/>
        <w:spacing w:line="560" w:lineRule="exact"/>
        <w:ind w:firstLine="593"/>
        <w:rPr>
          <w:rFonts w:eastAsia="仿宋_GB2312"/>
        </w:rPr>
      </w:pPr>
      <w:r>
        <w:rPr>
          <w:rFonts w:eastAsia="仿宋_GB2312"/>
        </w:rPr>
        <w:t>所填报的信息应与证明性文件和申报资料保持一致，并指定其中一个申请机构负责向国家缴纳注册费用。已经填入的申请人各机构均应当由其法定代表人或接受其授权者（另需提供签字授权书原件）在此签名、加盖机构公章（须与其机构名称完全一致）。</w:t>
      </w:r>
    </w:p>
    <w:p>
      <w:pPr>
        <w:pStyle w:val="6"/>
        <w:keepNext w:val="0"/>
        <w:keepLines w:val="0"/>
        <w:widowControl w:val="0"/>
        <w:overflowPunct w:val="0"/>
        <w:spacing w:line="560" w:lineRule="exact"/>
        <w:ind w:firstLine="593"/>
        <w:rPr>
          <w:rFonts w:eastAsia="仿宋_GB2312"/>
        </w:rPr>
      </w:pPr>
      <w:bookmarkStart w:id="12" w:name="_Toc498503382"/>
      <w:r>
        <w:rPr>
          <w:rFonts w:eastAsia="仿宋_GB2312"/>
        </w:rPr>
        <w:t>2．小型微型企业收费优惠申请表</w:t>
      </w:r>
      <w:bookmarkEnd w:id="12"/>
    </w:p>
    <w:p>
      <w:pPr>
        <w:pStyle w:val="6"/>
        <w:keepNext w:val="0"/>
        <w:keepLines w:val="0"/>
        <w:widowControl w:val="0"/>
        <w:overflowPunct w:val="0"/>
        <w:spacing w:line="560" w:lineRule="exact"/>
        <w:ind w:firstLine="593"/>
        <w:rPr>
          <w:rFonts w:eastAsia="仿宋_GB2312"/>
        </w:rPr>
      </w:pPr>
      <w:r>
        <w:rPr>
          <w:rFonts w:eastAsia="仿宋_GB2312"/>
        </w:rPr>
        <w:t>如符合小微企业行政事业性收费优惠政策，可提交小型微型企业收费优惠申请表并提供如下信息：</w:t>
      </w:r>
    </w:p>
    <w:p>
      <w:pPr>
        <w:pStyle w:val="6"/>
        <w:keepNext w:val="0"/>
        <w:keepLines w:val="0"/>
        <w:widowControl w:val="0"/>
        <w:overflowPunct w:val="0"/>
        <w:spacing w:line="560" w:lineRule="exact"/>
        <w:ind w:firstLine="593"/>
        <w:rPr>
          <w:rFonts w:eastAsia="仿宋_GB2312"/>
        </w:rPr>
      </w:pPr>
      <w:r>
        <w:rPr>
          <w:rFonts w:eastAsia="仿宋_GB2312"/>
        </w:rPr>
        <w:t>2.1基本信息：如企业名称、联系人、联系电话等，应与《药品注册申请表》有关信息一致。</w:t>
      </w:r>
    </w:p>
    <w:p>
      <w:pPr>
        <w:pStyle w:val="6"/>
        <w:keepNext w:val="0"/>
        <w:keepLines w:val="0"/>
        <w:widowControl w:val="0"/>
        <w:overflowPunct w:val="0"/>
        <w:spacing w:line="560" w:lineRule="exact"/>
        <w:ind w:firstLine="593"/>
        <w:rPr>
          <w:rFonts w:eastAsia="仿宋_GB2312"/>
        </w:rPr>
      </w:pPr>
      <w:r>
        <w:rPr>
          <w:rFonts w:eastAsia="仿宋_GB2312"/>
        </w:rPr>
        <w:t>2.2从业人员、上一纳税年度营业收入、企业资产总值等：申请人依实际情况填写。</w:t>
      </w:r>
    </w:p>
    <w:p>
      <w:pPr>
        <w:pStyle w:val="6"/>
        <w:keepNext w:val="0"/>
        <w:keepLines w:val="0"/>
        <w:widowControl w:val="0"/>
        <w:overflowPunct w:val="0"/>
        <w:spacing w:line="560" w:lineRule="exact"/>
        <w:ind w:firstLine="593"/>
      </w:pPr>
      <w:r>
        <w:rPr>
          <w:rFonts w:eastAsia="仿宋_GB2312"/>
        </w:rPr>
        <w:t>2.3应由其法定代表人或接受其授权者（另需提供签字授权书原件）在此签名、加盖机构公章（须与其机构名称完全一致）。</w:t>
      </w:r>
    </w:p>
    <w:p>
      <w:pPr>
        <w:widowControl w:val="0"/>
        <w:overflowPunct w:val="0"/>
        <w:spacing w:line="560" w:lineRule="exact"/>
        <w:ind w:firstLine="593"/>
        <w:outlineLvl w:val="2"/>
        <w:rPr>
          <w:rFonts w:eastAsia="楷体_GB2312"/>
          <w:color w:val="auto"/>
          <w:lang w:eastAsia="zh-CN"/>
        </w:rPr>
      </w:pPr>
      <w:bookmarkStart w:id="13" w:name="_Toc33798936"/>
      <w:r>
        <w:rPr>
          <w:rFonts w:eastAsia="楷体_GB2312"/>
          <w:color w:val="auto"/>
          <w:lang w:eastAsia="zh-CN"/>
        </w:rPr>
        <w:t>（四）申报资料审查要点</w:t>
      </w:r>
      <w:bookmarkEnd w:id="13"/>
    </w:p>
    <w:p>
      <w:pPr>
        <w:widowControl w:val="0"/>
        <w:spacing w:line="560" w:lineRule="exact"/>
        <w:ind w:firstLine="593"/>
        <w:rPr>
          <w:rFonts w:eastAsia="楷体_GB2312"/>
          <w:color w:val="auto"/>
          <w:lang w:eastAsia="zh-CN"/>
        </w:rPr>
      </w:pPr>
      <w:r>
        <w:rPr>
          <w:color w:val="auto"/>
          <w:lang w:eastAsia="zh-CN"/>
        </w:rPr>
        <w:t>1</w:t>
      </w:r>
      <w:r>
        <w:rPr>
          <w:lang w:eastAsia="zh-CN"/>
        </w:rPr>
        <w:t>．</w:t>
      </w:r>
      <w:r>
        <w:rPr>
          <w:rFonts w:eastAsia="楷体_GB2312"/>
          <w:color w:val="auto"/>
          <w:lang w:eastAsia="zh-CN"/>
        </w:rPr>
        <w:t>产品相关证明文件</w:t>
      </w:r>
    </w:p>
    <w:p>
      <w:pPr>
        <w:overflowPunct w:val="0"/>
        <w:spacing w:line="560" w:lineRule="exact"/>
        <w:ind w:firstLine="593"/>
        <w:rPr>
          <w:color w:val="auto"/>
          <w:lang w:eastAsia="zh-CN"/>
        </w:rPr>
      </w:pPr>
      <w:r>
        <w:rPr>
          <w:color w:val="auto"/>
          <w:lang w:eastAsia="zh-CN"/>
        </w:rPr>
        <w:t>1.1药用辅料及药包材证明文件</w:t>
      </w:r>
    </w:p>
    <w:p>
      <w:pPr>
        <w:widowControl w:val="0"/>
        <w:spacing w:line="560" w:lineRule="exact"/>
        <w:ind w:firstLine="593"/>
        <w:rPr>
          <w:color w:val="auto"/>
          <w:lang w:eastAsia="zh-CN"/>
        </w:rPr>
      </w:pPr>
      <w:r>
        <w:rPr>
          <w:color w:val="auto"/>
          <w:lang w:eastAsia="zh-CN"/>
        </w:rPr>
        <w:t>药用辅料及药包材合法来源证明文件，包括供货协议、发票等。</w:t>
      </w:r>
    </w:p>
    <w:p>
      <w:pPr>
        <w:overflowPunct w:val="0"/>
        <w:spacing w:line="560" w:lineRule="exact"/>
        <w:ind w:firstLine="593"/>
        <w:rPr>
          <w:color w:val="auto"/>
          <w:lang w:eastAsia="zh-CN"/>
        </w:rPr>
      </w:pPr>
      <w:r>
        <w:rPr>
          <w:color w:val="auto"/>
          <w:lang w:eastAsia="zh-CN"/>
        </w:rPr>
        <w:t>对于选用已登记辅包</w:t>
      </w:r>
      <w:r>
        <w:rPr>
          <w:lang w:eastAsia="zh-CN"/>
        </w:rPr>
        <w:t>关联审评</w:t>
      </w:r>
      <w:r>
        <w:rPr>
          <w:color w:val="auto"/>
          <w:lang w:eastAsia="zh-CN"/>
        </w:rPr>
        <w:t>情形的，还应提交药用辅料及药包材使用授权书</w:t>
      </w:r>
      <w:r>
        <w:rPr>
          <w:lang w:eastAsia="zh-CN"/>
        </w:rPr>
        <w:t>复印件(如适用)</w:t>
      </w:r>
      <w:r>
        <w:rPr>
          <w:color w:val="auto"/>
          <w:lang w:eastAsia="zh-CN"/>
        </w:rPr>
        <w:t>，如为供应商出具，需有药用辅料和药包材企业授权，并附授权信。</w:t>
      </w:r>
    </w:p>
    <w:p>
      <w:pPr>
        <w:overflowPunct w:val="0"/>
        <w:spacing w:line="560" w:lineRule="exact"/>
        <w:ind w:firstLine="593"/>
        <w:rPr>
          <w:color w:val="auto"/>
          <w:lang w:eastAsia="zh-CN"/>
        </w:rPr>
      </w:pPr>
      <w:r>
        <w:rPr>
          <w:color w:val="auto"/>
          <w:lang w:eastAsia="zh-CN"/>
        </w:rPr>
        <w:t>1.2专利信息及证明文件</w:t>
      </w:r>
    </w:p>
    <w:p>
      <w:pPr>
        <w:spacing w:line="560" w:lineRule="exact"/>
        <w:ind w:firstLine="593"/>
        <w:rPr>
          <w:color w:val="auto"/>
          <w:lang w:eastAsia="zh-CN"/>
        </w:rPr>
      </w:pPr>
      <w:r>
        <w:rPr>
          <w:color w:val="auto"/>
          <w:lang w:eastAsia="zh-CN"/>
        </w:rPr>
        <w:t>申请的药物或者使用的处方、工艺、用途等专利情况及其权属状态说明，以及对他人的专利不构成侵权的声明。</w:t>
      </w:r>
      <w:r>
        <w:rPr>
          <w:lang w:eastAsia="zh-CN"/>
        </w:rPr>
        <w:t>应由申请人出具，并承诺对可能的侵权后果承担全部责任。</w:t>
      </w:r>
    </w:p>
    <w:p>
      <w:pPr>
        <w:overflowPunct w:val="0"/>
        <w:spacing w:line="560" w:lineRule="exact"/>
        <w:ind w:firstLine="593"/>
        <w:rPr>
          <w:color w:val="auto"/>
          <w:lang w:eastAsia="zh-CN"/>
        </w:rPr>
      </w:pPr>
      <w:r>
        <w:rPr>
          <w:color w:val="auto"/>
          <w:lang w:eastAsia="zh-CN"/>
        </w:rPr>
        <w:t>1.3</w:t>
      </w:r>
      <w:r>
        <w:rPr>
          <w:lang w:eastAsia="zh-CN"/>
        </w:rPr>
        <w:t>对照药来源证明文件（如适用）</w:t>
      </w:r>
    </w:p>
    <w:p>
      <w:pPr>
        <w:overflowPunct w:val="0"/>
        <w:spacing w:line="560" w:lineRule="exact"/>
        <w:ind w:firstLine="593"/>
        <w:rPr>
          <w:color w:val="auto"/>
          <w:lang w:eastAsia="zh-CN"/>
        </w:rPr>
      </w:pPr>
      <w:r>
        <w:rPr>
          <w:color w:val="auto"/>
          <w:lang w:eastAsia="zh-CN"/>
        </w:rPr>
        <w:t>1.4商标信息及证明文件</w:t>
      </w:r>
      <w:r>
        <w:rPr>
          <w:lang w:eastAsia="zh-CN"/>
        </w:rPr>
        <w:t>（如适用）</w:t>
      </w:r>
    </w:p>
    <w:p>
      <w:pPr>
        <w:widowControl w:val="0"/>
        <w:spacing w:line="560" w:lineRule="exact"/>
        <w:ind w:firstLine="593"/>
        <w:rPr>
          <w:color w:val="auto"/>
          <w:kern w:val="44"/>
          <w:lang w:eastAsia="zh-CN"/>
        </w:rPr>
      </w:pPr>
      <w:r>
        <w:rPr>
          <w:color w:val="auto"/>
          <w:kern w:val="44"/>
          <w:lang w:eastAsia="zh-CN"/>
        </w:rPr>
        <w:t>申请商品名的，应提交商标局出具的商标注册证。</w:t>
      </w:r>
    </w:p>
    <w:p>
      <w:pPr>
        <w:overflowPunct w:val="0"/>
        <w:spacing w:line="560" w:lineRule="exact"/>
        <w:ind w:firstLine="593"/>
        <w:rPr>
          <w:color w:val="auto"/>
          <w:lang w:eastAsia="zh-CN"/>
        </w:rPr>
      </w:pPr>
      <w:r>
        <w:rPr>
          <w:color w:val="auto"/>
          <w:lang w:eastAsia="zh-CN"/>
        </w:rPr>
        <w:t>1.5药物临床试验相关证明文件</w:t>
      </w:r>
      <w:r>
        <w:rPr>
          <w:lang w:eastAsia="zh-CN"/>
        </w:rPr>
        <w:t>（上市申请适用）</w:t>
      </w:r>
    </w:p>
    <w:p>
      <w:pPr>
        <w:overflowPunct w:val="0"/>
        <w:spacing w:line="560" w:lineRule="exact"/>
        <w:ind w:firstLine="593"/>
        <w:rPr>
          <w:color w:val="auto"/>
          <w:lang w:eastAsia="zh-CN"/>
        </w:rPr>
      </w:pPr>
      <w:r>
        <w:rPr>
          <w:color w:val="auto"/>
          <w:lang w:eastAsia="zh-CN"/>
        </w:rPr>
        <w:t>《药物临床试验批件》/临床试验通知书</w:t>
      </w:r>
      <w:r>
        <w:rPr>
          <w:rFonts w:hint="eastAsia"/>
          <w:color w:val="auto"/>
          <w:lang w:eastAsia="zh-CN"/>
        </w:rPr>
        <w:t>及临床试验过程中相关补充申请或备案的证明文件（如有）</w:t>
      </w:r>
      <w:r>
        <w:rPr>
          <w:color w:val="auto"/>
          <w:lang w:eastAsia="zh-CN"/>
        </w:rPr>
        <w:t>复印件、临床试验用药质量标准及临床试验登记号</w:t>
      </w:r>
      <w:r>
        <w:rPr>
          <w:lang w:eastAsia="zh-CN"/>
        </w:rPr>
        <w:t>等相关材料，并就《药物临床试验批件》/临床试验通知书中意见进行逐项答复。</w:t>
      </w:r>
    </w:p>
    <w:p>
      <w:pPr>
        <w:overflowPunct w:val="0"/>
        <w:spacing w:line="560" w:lineRule="exact"/>
        <w:ind w:firstLine="593"/>
        <w:rPr>
          <w:color w:val="auto"/>
          <w:lang w:eastAsia="zh-CN"/>
        </w:rPr>
      </w:pPr>
      <w:r>
        <w:rPr>
          <w:color w:val="auto"/>
          <w:lang w:eastAsia="zh-CN"/>
        </w:rPr>
        <w:t>1.6委托研究证明文件</w:t>
      </w:r>
    </w:p>
    <w:p>
      <w:pPr>
        <w:widowControl w:val="0"/>
        <w:spacing w:line="560" w:lineRule="exact"/>
        <w:ind w:firstLine="593"/>
        <w:rPr>
          <w:color w:val="auto"/>
          <w:kern w:val="44"/>
          <w:lang w:eastAsia="zh-CN"/>
        </w:rPr>
      </w:pPr>
      <w:r>
        <w:rPr>
          <w:color w:val="auto"/>
          <w:kern w:val="44"/>
          <w:lang w:eastAsia="zh-CN"/>
        </w:rP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w:t>
      </w:r>
      <w:r>
        <w:rPr>
          <w:rFonts w:hint="eastAsia"/>
          <w:color w:val="auto"/>
          <w:kern w:val="44"/>
          <w:lang w:eastAsia="zh-CN"/>
        </w:rPr>
        <w:t>复印件</w:t>
      </w:r>
      <w:r>
        <w:rPr>
          <w:color w:val="auto"/>
          <w:kern w:val="44"/>
          <w:lang w:eastAsia="zh-CN"/>
        </w:rPr>
        <w:t>。</w:t>
      </w:r>
    </w:p>
    <w:p>
      <w:pPr>
        <w:widowControl w:val="0"/>
        <w:spacing w:line="560" w:lineRule="exact"/>
        <w:ind w:firstLine="593"/>
        <w:rPr>
          <w:color w:val="auto"/>
          <w:kern w:val="44"/>
          <w:lang w:eastAsia="zh-CN"/>
        </w:rPr>
      </w:pPr>
      <w:r>
        <w:rPr>
          <w:color w:val="auto"/>
          <w:kern w:val="44"/>
          <w:lang w:eastAsia="zh-CN"/>
        </w:rPr>
        <w:t>非临床研究安全性评价机构应提供符合《药物非临床研究质量管理规范》（简称GLP）的批准证明，临床研究机构应提供备案证明。</w:t>
      </w:r>
    </w:p>
    <w:p>
      <w:pPr>
        <w:overflowPunct w:val="0"/>
        <w:spacing w:line="560" w:lineRule="exact"/>
        <w:ind w:firstLine="593"/>
        <w:rPr>
          <w:color w:val="auto"/>
          <w:lang w:eastAsia="zh-CN"/>
        </w:rPr>
      </w:pPr>
      <w:r>
        <w:rPr>
          <w:color w:val="auto"/>
          <w:lang w:eastAsia="zh-CN"/>
        </w:rPr>
        <w:t>1.7药械组合产品相关证明性文件</w:t>
      </w:r>
    </w:p>
    <w:p>
      <w:pPr>
        <w:overflowPunct w:val="0"/>
        <w:spacing w:line="560" w:lineRule="exact"/>
        <w:ind w:firstLine="593"/>
        <w:rPr>
          <w:lang w:eastAsia="zh-CN"/>
        </w:rPr>
      </w:pPr>
      <w:r>
        <w:rPr>
          <w:lang w:eastAsia="zh-CN"/>
        </w:rPr>
        <w:t>经属性界定确认属于药品或以药品为主的药械组合产品，应提交药械组合产品的属性界定结果通知书复印件。</w:t>
      </w:r>
    </w:p>
    <w:p>
      <w:pPr>
        <w:overflowPunct w:val="0"/>
        <w:spacing w:line="560" w:lineRule="exact"/>
        <w:ind w:firstLine="593"/>
        <w:rPr>
          <w:color w:val="auto"/>
          <w:lang w:eastAsia="zh-CN"/>
        </w:rPr>
      </w:pPr>
      <w:r>
        <w:rPr>
          <w:color w:val="auto"/>
          <w:lang w:eastAsia="zh-CN"/>
        </w:rPr>
        <w:t>1.8允许药品上市销售证明文件</w:t>
      </w:r>
    </w:p>
    <w:p>
      <w:pPr>
        <w:widowControl w:val="0"/>
        <w:spacing w:line="560" w:lineRule="exact"/>
        <w:ind w:firstLine="582" w:firstLineChars="196"/>
        <w:rPr>
          <w:color w:val="auto"/>
          <w:kern w:val="44"/>
          <w:lang w:eastAsia="zh-CN"/>
        </w:rPr>
      </w:pPr>
      <w:r>
        <w:rPr>
          <w:color w:val="auto"/>
          <w:kern w:val="44"/>
          <w:lang w:eastAsia="zh-CN"/>
        </w:rPr>
        <w:t>境外已上市的境外生产的生物制品，应提交境外药品管理机构出具的允许该药品上市销售证明文件、公证认证文书及中文译文。</w:t>
      </w:r>
    </w:p>
    <w:p>
      <w:pPr>
        <w:widowControl w:val="0"/>
        <w:spacing w:line="560" w:lineRule="exact"/>
        <w:ind w:firstLine="593"/>
        <w:rPr>
          <w:rFonts w:ascii="楷体_GB2312" w:eastAsia="楷体_GB2312"/>
          <w:lang w:eastAsia="zh-CN"/>
        </w:rPr>
      </w:pPr>
      <w:r>
        <w:rPr>
          <w:rFonts w:hint="eastAsia" w:ascii="楷体_GB2312" w:eastAsia="楷体_GB2312"/>
          <w:lang w:eastAsia="zh-CN"/>
        </w:rPr>
        <w:t>2．申请人/生产企业资质证明文件</w:t>
      </w:r>
    </w:p>
    <w:p>
      <w:pPr>
        <w:overflowPunct w:val="0"/>
        <w:spacing w:line="560" w:lineRule="exact"/>
        <w:ind w:firstLine="593"/>
        <w:rPr>
          <w:lang w:eastAsia="zh-CN"/>
        </w:rPr>
      </w:pPr>
      <w:r>
        <w:rPr>
          <w:lang w:eastAsia="zh-CN"/>
        </w:rPr>
        <w:t>2.1申请人资质证明文件</w:t>
      </w:r>
    </w:p>
    <w:p>
      <w:pPr>
        <w:overflowPunct w:val="0"/>
        <w:spacing w:line="560" w:lineRule="exact"/>
        <w:ind w:firstLine="593"/>
        <w:rPr>
          <w:lang w:eastAsia="zh-CN"/>
        </w:rPr>
      </w:pPr>
      <w:r>
        <w:rPr>
          <w:lang w:eastAsia="zh-CN"/>
        </w:rPr>
        <w:t>2.1.1申请人机构合法登记证明文件（营业执照等）。申请人药品生产许可证及其变更记录页（上市许可适用）。</w:t>
      </w:r>
    </w:p>
    <w:p>
      <w:pPr>
        <w:overflowPunct w:val="0"/>
        <w:spacing w:line="560" w:lineRule="exact"/>
        <w:ind w:firstLine="593"/>
        <w:rPr>
          <w:lang w:eastAsia="zh-CN"/>
        </w:rPr>
      </w:pPr>
      <w:r>
        <w:rPr>
          <w:lang w:eastAsia="zh-CN"/>
        </w:rPr>
        <w:t>2.1.2境外申请人指定中国境内的企业法人办理相关药品注册事项的，应当提供委托文书、公证文书及其中文译文，以及注册代理机构的营业执照复印件。上市许可申请时，如变更注册代理机构，还应提交境外申请人解除原委托代理注册关系的文书、公证文书及中文译文。</w:t>
      </w:r>
    </w:p>
    <w:p>
      <w:pPr>
        <w:overflowPunct w:val="0"/>
        <w:spacing w:line="560" w:lineRule="exact"/>
        <w:ind w:firstLine="593"/>
        <w:rPr>
          <w:lang w:eastAsia="zh-CN"/>
        </w:rPr>
      </w:pPr>
      <w:r>
        <w:rPr>
          <w:lang w:eastAsia="zh-CN"/>
        </w:rPr>
        <w:t>2.2生产企业资质证明文件</w:t>
      </w:r>
    </w:p>
    <w:p>
      <w:pPr>
        <w:overflowPunct w:val="0"/>
        <w:spacing w:line="560" w:lineRule="exact"/>
        <w:ind w:firstLine="593"/>
        <w:rPr>
          <w:lang w:eastAsia="zh-CN"/>
        </w:rPr>
      </w:pPr>
      <w:r>
        <w:rPr>
          <w:lang w:eastAsia="zh-CN"/>
        </w:rPr>
        <w:t>2.2.1生产企业机构合法登记证明文件（营业执照等）。生产企业药品生产许可证及变更记录页（上市许可适用）。</w:t>
      </w:r>
    </w:p>
    <w:p>
      <w:pPr>
        <w:overflowPunct w:val="0"/>
        <w:spacing w:line="560" w:lineRule="exact"/>
        <w:ind w:firstLine="593"/>
        <w:rPr>
          <w:lang w:eastAsia="zh-CN"/>
        </w:rPr>
      </w:pPr>
      <w:r>
        <w:rPr>
          <w:lang w:eastAsia="zh-CN"/>
        </w:rPr>
        <w:t>2.2.2境外药品管理机构出具的该药品生产企业和包装厂符合药品生产质量管理规范的证明文件、公证认证文书及中文译文。（境外生产药品适用）</w:t>
      </w:r>
    </w:p>
    <w:p>
      <w:pPr>
        <w:overflowPunct w:val="0"/>
        <w:spacing w:line="560" w:lineRule="exact"/>
        <w:ind w:firstLine="593"/>
        <w:rPr>
          <w:lang w:eastAsia="zh-CN"/>
        </w:rPr>
      </w:pPr>
      <w:r>
        <w:rPr>
          <w:lang w:eastAsia="zh-CN"/>
        </w:rPr>
        <w:t>2.2.3申请临床试验的，应提供其临床试验用药物在符合药品生产质量管理规范的条件下制备的情况说明。</w:t>
      </w:r>
    </w:p>
    <w:p>
      <w:pPr>
        <w:overflowPunct w:val="0"/>
        <w:spacing w:line="560" w:lineRule="exact"/>
        <w:ind w:firstLine="593"/>
        <w:rPr>
          <w:color w:val="auto"/>
          <w:kern w:val="44"/>
          <w:lang w:eastAsia="zh-CN"/>
        </w:rPr>
      </w:pPr>
      <w:r>
        <w:rPr>
          <w:lang w:eastAsia="zh-CN"/>
        </w:rPr>
        <w:t>2.3</w:t>
      </w:r>
      <w:r>
        <w:rPr>
          <w:color w:val="auto"/>
          <w:kern w:val="44"/>
          <w:lang w:eastAsia="zh-CN"/>
        </w:rPr>
        <w:t>小微企业申报资料（如适用）：企业的工商营业执照副本</w:t>
      </w:r>
      <w:r>
        <w:rPr>
          <w:lang w:eastAsia="zh-CN"/>
        </w:rPr>
        <w:t>复印件；</w:t>
      </w:r>
      <w:r>
        <w:rPr>
          <w:color w:val="auto"/>
          <w:kern w:val="44"/>
          <w:lang w:eastAsia="zh-CN"/>
        </w:rPr>
        <w:t>上一年度企业所得税纳税申报表（须经税务部门盖章确认）或上一年度有效统计表（统计部门出具）原件。</w:t>
      </w:r>
    </w:p>
    <w:p>
      <w:pPr>
        <w:widowControl w:val="0"/>
        <w:spacing w:line="560" w:lineRule="exact"/>
        <w:ind w:firstLine="582" w:firstLineChars="196"/>
        <w:rPr>
          <w:rFonts w:ascii="楷体_GB2312" w:eastAsia="楷体_GB2312"/>
          <w:lang w:eastAsia="zh-CN"/>
        </w:rPr>
      </w:pPr>
      <w:bookmarkStart w:id="14" w:name="_Toc33798937"/>
      <w:r>
        <w:rPr>
          <w:rFonts w:hint="eastAsia" w:ascii="楷体_GB2312" w:eastAsia="楷体_GB2312"/>
          <w:lang w:eastAsia="zh-CN"/>
        </w:rPr>
        <w:t>3．其他申报资料</w:t>
      </w:r>
      <w:bookmarkEnd w:id="14"/>
      <w:r>
        <w:rPr>
          <w:rFonts w:hint="eastAsia" w:ascii="楷体_GB2312" w:eastAsia="楷体_GB2312"/>
          <w:lang w:eastAsia="zh-CN"/>
        </w:rPr>
        <w:t>审查要点</w:t>
      </w:r>
    </w:p>
    <w:p>
      <w:pPr>
        <w:overflowPunct w:val="0"/>
        <w:spacing w:line="560" w:lineRule="exact"/>
        <w:ind w:firstLine="593"/>
        <w:rPr>
          <w:color w:val="auto"/>
          <w:kern w:val="44"/>
          <w:lang w:eastAsia="zh-CN"/>
        </w:rPr>
      </w:pPr>
      <w:r>
        <w:rPr>
          <w:lang w:eastAsia="zh-CN"/>
        </w:rPr>
        <w:t>3.1</w:t>
      </w:r>
      <w:r>
        <w:rPr>
          <w:color w:val="auto"/>
          <w:kern w:val="44"/>
          <w:lang w:eastAsia="zh-CN"/>
        </w:rPr>
        <w:t>注册分类及依据</w:t>
      </w:r>
    </w:p>
    <w:p>
      <w:pPr>
        <w:widowControl w:val="0"/>
        <w:spacing w:line="560" w:lineRule="exact"/>
        <w:ind w:firstLine="593"/>
        <w:rPr>
          <w:color w:val="auto"/>
          <w:kern w:val="44"/>
          <w:lang w:eastAsia="zh-CN"/>
        </w:rPr>
      </w:pPr>
      <w:r>
        <w:rPr>
          <w:color w:val="auto"/>
          <w:kern w:val="44"/>
          <w:lang w:eastAsia="zh-CN"/>
        </w:rPr>
        <w:t>申请人</w:t>
      </w:r>
      <w:bookmarkStart w:id="15" w:name="OLE_LINK1"/>
      <w:r>
        <w:rPr>
          <w:color w:val="auto"/>
          <w:kern w:val="44"/>
          <w:lang w:eastAsia="zh-CN"/>
        </w:rPr>
        <w:t>应按照《</w:t>
      </w:r>
      <w:r>
        <w:rPr>
          <w:rFonts w:hint="eastAsia"/>
          <w:color w:val="auto"/>
          <w:kern w:val="44"/>
          <w:lang w:eastAsia="zh-CN"/>
        </w:rPr>
        <w:t>生物制品注册分类及申报资料要求</w:t>
      </w:r>
      <w:r>
        <w:rPr>
          <w:color w:val="auto"/>
          <w:kern w:val="44"/>
          <w:lang w:eastAsia="zh-CN"/>
        </w:rPr>
        <w:t>》第二部分治疗用生物制品注册分类要求明确注册分类</w:t>
      </w:r>
      <w:bookmarkEnd w:id="15"/>
      <w:r>
        <w:rPr>
          <w:color w:val="auto"/>
          <w:kern w:val="44"/>
          <w:lang w:eastAsia="zh-CN"/>
        </w:rPr>
        <w:t>，并在模块一说明函中说明分类依据。</w:t>
      </w:r>
    </w:p>
    <w:p>
      <w:pPr>
        <w:widowControl w:val="0"/>
        <w:spacing w:line="560" w:lineRule="exact"/>
        <w:ind w:firstLine="593"/>
        <w:rPr>
          <w:color w:val="auto"/>
          <w:kern w:val="44"/>
          <w:lang w:eastAsia="zh-CN"/>
        </w:rPr>
      </w:pPr>
      <w:r>
        <w:rPr>
          <w:color w:val="auto"/>
          <w:kern w:val="44"/>
          <w:lang w:eastAsia="zh-CN"/>
        </w:rPr>
        <w:t>注册分类应根据申报注册时制品所处的成熟程度进行界定，审评过程中不再更改。审评审批过程中发现注册分类与实际情况不符的，申请人应主动撤回，修改完善后再行申报。</w:t>
      </w:r>
    </w:p>
    <w:p>
      <w:pPr>
        <w:spacing w:line="560" w:lineRule="exact"/>
        <w:ind w:firstLine="593"/>
        <w:rPr>
          <w:color w:val="auto"/>
          <w:lang w:eastAsia="zh-CN"/>
        </w:rPr>
      </w:pPr>
      <w:r>
        <w:rPr>
          <w:color w:val="auto"/>
          <w:lang w:eastAsia="zh-CN"/>
        </w:rPr>
        <w:t>申报资料真实性声明，应由申请人声明对所申报的材料真实性负责，保证申报资料的真实有效。同时，需要法定代表人签字盖章。在</w:t>
      </w:r>
      <w:r>
        <w:rPr>
          <w:rFonts w:hint="eastAsia"/>
          <w:color w:val="auto"/>
          <w:lang w:eastAsia="zh-CN"/>
        </w:rPr>
        <w:t>境</w:t>
      </w:r>
      <w:r>
        <w:rPr>
          <w:color w:val="auto"/>
          <w:lang w:eastAsia="zh-CN"/>
        </w:rPr>
        <w:t>外形成的此文件，应经所在国公证机构公证及驻所在国中国使领馆认证。</w:t>
      </w:r>
    </w:p>
    <w:p>
      <w:pPr>
        <w:overflowPunct w:val="0"/>
        <w:spacing w:line="560" w:lineRule="exact"/>
        <w:ind w:firstLine="593"/>
        <w:rPr>
          <w:lang w:eastAsia="zh-CN"/>
        </w:rPr>
      </w:pPr>
      <w:r>
        <w:rPr>
          <w:lang w:eastAsia="zh-CN"/>
        </w:rPr>
        <w:t>3.2药学申报资料要求</w:t>
      </w:r>
    </w:p>
    <w:p>
      <w:pPr>
        <w:overflowPunct w:val="0"/>
        <w:spacing w:line="560" w:lineRule="exact"/>
        <w:ind w:firstLine="593"/>
        <w:rPr>
          <w:lang w:eastAsia="zh-CN"/>
        </w:rPr>
      </w:pPr>
      <w:r>
        <w:rPr>
          <w:lang w:eastAsia="zh-CN"/>
        </w:rPr>
        <w:t>3.2.1对于生物类似药，</w:t>
      </w:r>
      <w:r>
        <w:rPr>
          <w:rFonts w:hint="eastAsia"/>
          <w:lang w:eastAsia="zh-CN"/>
        </w:rPr>
        <w:t>可</w:t>
      </w:r>
      <w:r>
        <w:rPr>
          <w:lang w:eastAsia="zh-CN"/>
        </w:rPr>
        <w:t>在“3.2.R其他”中提交质量相似性评价资料 。</w:t>
      </w:r>
    </w:p>
    <w:p>
      <w:pPr>
        <w:overflowPunct w:val="0"/>
        <w:spacing w:line="560" w:lineRule="exact"/>
        <w:ind w:firstLine="593"/>
        <w:rPr>
          <w:lang w:eastAsia="zh-CN"/>
        </w:rPr>
      </w:pPr>
      <w:r>
        <w:rPr>
          <w:lang w:eastAsia="zh-CN"/>
        </w:rPr>
        <w:t>3.2.2对于抗体药物偶联物或修饰类制品，小分子药物药学研究资料</w:t>
      </w:r>
      <w:r>
        <w:rPr>
          <w:rFonts w:hint="eastAsia"/>
          <w:lang w:eastAsia="zh-CN"/>
        </w:rPr>
        <w:t>可</w:t>
      </w:r>
      <w:r>
        <w:rPr>
          <w:lang w:eastAsia="zh-CN"/>
        </w:rPr>
        <w:t>按照CTD格式和内容的要求单独提交整套研究资料，</w:t>
      </w:r>
      <w:r>
        <w:rPr>
          <w:rFonts w:hint="eastAsia"/>
          <w:lang w:eastAsia="zh-CN"/>
        </w:rPr>
        <w:t>也可</w:t>
      </w:r>
      <w:r>
        <w:rPr>
          <w:lang w:eastAsia="zh-CN"/>
        </w:rPr>
        <w:t>在“3.2.S.2.3物料控制”中提交所有的药学研究资料。</w:t>
      </w:r>
    </w:p>
    <w:p>
      <w:pPr>
        <w:overflowPunct w:val="0"/>
        <w:spacing w:line="560" w:lineRule="exact"/>
        <w:ind w:firstLine="593"/>
        <w:rPr>
          <w:lang w:eastAsia="zh-CN"/>
        </w:rPr>
      </w:pPr>
      <w:r>
        <w:rPr>
          <w:lang w:eastAsia="zh-CN"/>
        </w:rPr>
        <w:t>3.2.3对于复方制品或多组分产品，每个组分</w:t>
      </w:r>
      <w:r>
        <w:rPr>
          <w:rFonts w:hint="eastAsia"/>
          <w:lang w:eastAsia="zh-CN"/>
        </w:rPr>
        <w:t>可</w:t>
      </w:r>
      <w:r>
        <w:rPr>
          <w:lang w:eastAsia="zh-CN"/>
        </w:rPr>
        <w:t>分别提供一个完整的原液和/或制剂章节。</w:t>
      </w:r>
    </w:p>
    <w:p>
      <w:pPr>
        <w:overflowPunct w:val="0"/>
        <w:spacing w:line="560" w:lineRule="exact"/>
        <w:ind w:firstLine="593"/>
        <w:rPr>
          <w:lang w:eastAsia="zh-CN"/>
        </w:rPr>
      </w:pPr>
      <w:r>
        <w:rPr>
          <w:lang w:eastAsia="zh-CN"/>
        </w:rPr>
        <w:t>3.2.4对于细胞和基因治疗产品，</w:t>
      </w:r>
      <w:r>
        <w:rPr>
          <w:rFonts w:hint="eastAsia"/>
          <w:lang w:eastAsia="zh-CN"/>
        </w:rPr>
        <w:t>可</w:t>
      </w:r>
      <w:r>
        <w:rPr>
          <w:lang w:eastAsia="zh-CN"/>
        </w:rPr>
        <w:t>根据产品特点，在原液和/或制剂相应项下提供药学研究资料，对于不适用的项目，注明“不适用”。</w:t>
      </w:r>
    </w:p>
    <w:p>
      <w:pPr>
        <w:overflowPunct w:val="0"/>
        <w:spacing w:line="560" w:lineRule="exact"/>
        <w:ind w:firstLine="593"/>
        <w:rPr>
          <w:color w:val="auto"/>
          <w:kern w:val="0"/>
          <w:lang w:eastAsia="zh-CN"/>
        </w:rPr>
      </w:pPr>
      <w:r>
        <w:rPr>
          <w:lang w:eastAsia="zh-CN"/>
        </w:rPr>
        <w:t xml:space="preserve">3.2.5 </w:t>
      </w:r>
      <w:r>
        <w:rPr>
          <w:color w:val="auto"/>
          <w:kern w:val="0"/>
          <w:lang w:eastAsia="zh-CN"/>
        </w:rPr>
        <w:t>区域性信息</w:t>
      </w:r>
    </w:p>
    <w:p>
      <w:pPr>
        <w:spacing w:line="560" w:lineRule="exact"/>
        <w:ind w:firstLine="593"/>
        <w:rPr>
          <w:color w:val="auto"/>
          <w:lang w:eastAsia="zh-CN"/>
        </w:rPr>
      </w:pPr>
      <w:r>
        <w:rPr>
          <w:rFonts w:hint="eastAsia"/>
          <w:color w:val="auto"/>
          <w:lang w:eastAsia="zh-CN"/>
        </w:rPr>
        <w:t>3.2.R.1工艺验证</w:t>
      </w:r>
    </w:p>
    <w:p>
      <w:pPr>
        <w:spacing w:line="560" w:lineRule="exact"/>
        <w:ind w:firstLine="593"/>
        <w:rPr>
          <w:color w:val="auto"/>
          <w:lang w:eastAsia="zh-CN"/>
        </w:rPr>
      </w:pPr>
      <w:r>
        <w:rPr>
          <w:rFonts w:hint="eastAsia"/>
          <w:color w:val="auto"/>
          <w:lang w:eastAsia="zh-CN"/>
        </w:rPr>
        <w:t>应提供工艺验证方案和报告。</w:t>
      </w:r>
    </w:p>
    <w:p>
      <w:pPr>
        <w:spacing w:line="560" w:lineRule="exact"/>
        <w:ind w:firstLine="593"/>
        <w:rPr>
          <w:color w:val="auto"/>
          <w:lang w:eastAsia="zh-CN"/>
        </w:rPr>
      </w:pPr>
      <w:r>
        <w:rPr>
          <w:rFonts w:hint="eastAsia"/>
          <w:color w:val="auto"/>
          <w:lang w:eastAsia="zh-CN"/>
        </w:rPr>
        <w:t>3.2.R.2批记录</w:t>
      </w:r>
    </w:p>
    <w:p>
      <w:pPr>
        <w:spacing w:line="560" w:lineRule="exact"/>
        <w:ind w:firstLine="593"/>
        <w:rPr>
          <w:color w:val="auto"/>
          <w:lang w:eastAsia="zh-CN"/>
        </w:rPr>
      </w:pPr>
      <w:r>
        <w:rPr>
          <w:rFonts w:hint="eastAsia"/>
          <w:color w:val="auto"/>
          <w:lang w:eastAsia="zh-CN"/>
        </w:rPr>
        <w:t>临床试验申请时，提供代表临床试验用样品工艺的批生产、检验记录；</w:t>
      </w:r>
    </w:p>
    <w:p>
      <w:pPr>
        <w:spacing w:line="560" w:lineRule="exact"/>
        <w:ind w:firstLine="593"/>
        <w:rPr>
          <w:color w:val="auto"/>
          <w:lang w:eastAsia="zh-CN"/>
        </w:rPr>
      </w:pPr>
      <w:r>
        <w:rPr>
          <w:rFonts w:hint="eastAsia"/>
          <w:color w:val="auto"/>
          <w:lang w:eastAsia="zh-CN"/>
        </w:rPr>
        <w:t>上市申请时，提供关键临床批和至少连续三批拟上市规模验证批的批生产、检验记录；</w:t>
      </w:r>
    </w:p>
    <w:p>
      <w:pPr>
        <w:spacing w:line="560" w:lineRule="exact"/>
        <w:ind w:firstLine="593"/>
        <w:rPr>
          <w:color w:val="auto"/>
          <w:lang w:eastAsia="zh-CN"/>
        </w:rPr>
      </w:pPr>
      <w:r>
        <w:rPr>
          <w:rFonts w:hint="eastAsia"/>
          <w:color w:val="auto"/>
          <w:lang w:eastAsia="zh-CN"/>
        </w:rPr>
        <w:t>提供上述批次的检验报告。</w:t>
      </w:r>
    </w:p>
    <w:p>
      <w:pPr>
        <w:spacing w:line="560" w:lineRule="exact"/>
        <w:ind w:firstLine="593"/>
        <w:rPr>
          <w:color w:val="auto"/>
          <w:lang w:eastAsia="zh-CN"/>
        </w:rPr>
      </w:pPr>
      <w:r>
        <w:rPr>
          <w:rFonts w:hint="eastAsia"/>
          <w:color w:val="auto"/>
          <w:lang w:eastAsia="zh-CN"/>
        </w:rPr>
        <w:t>3.2.R.3分析方法验证报告</w:t>
      </w:r>
    </w:p>
    <w:p>
      <w:pPr>
        <w:spacing w:line="560" w:lineRule="exact"/>
        <w:ind w:firstLine="593"/>
        <w:rPr>
          <w:color w:val="auto"/>
          <w:lang w:eastAsia="zh-CN"/>
        </w:rPr>
      </w:pPr>
      <w:r>
        <w:rPr>
          <w:rFonts w:hint="eastAsia"/>
          <w:color w:val="auto"/>
          <w:lang w:eastAsia="zh-CN"/>
        </w:rPr>
        <w:t>提供分析方法验证报告，包含典型图谱。</w:t>
      </w:r>
    </w:p>
    <w:p>
      <w:pPr>
        <w:spacing w:line="560" w:lineRule="exact"/>
        <w:ind w:firstLine="593"/>
        <w:rPr>
          <w:color w:val="auto"/>
          <w:lang w:eastAsia="zh-CN"/>
        </w:rPr>
      </w:pPr>
      <w:r>
        <w:rPr>
          <w:rFonts w:hint="eastAsia"/>
          <w:color w:val="auto"/>
          <w:lang w:eastAsia="zh-CN"/>
        </w:rPr>
        <w:t>3.2.R.4稳定性图谱</w:t>
      </w:r>
    </w:p>
    <w:p>
      <w:pPr>
        <w:spacing w:line="560" w:lineRule="exact"/>
        <w:ind w:firstLine="593"/>
        <w:rPr>
          <w:color w:val="auto"/>
          <w:lang w:eastAsia="zh-CN"/>
        </w:rPr>
      </w:pPr>
      <w:r>
        <w:rPr>
          <w:rFonts w:hint="eastAsia"/>
          <w:color w:val="auto"/>
          <w:lang w:eastAsia="zh-CN"/>
        </w:rPr>
        <w:t>提供稳定性研究的典型图谱。</w:t>
      </w:r>
    </w:p>
    <w:p>
      <w:pPr>
        <w:spacing w:line="560" w:lineRule="exact"/>
        <w:ind w:firstLine="593"/>
        <w:rPr>
          <w:color w:val="auto"/>
          <w:lang w:eastAsia="zh-CN"/>
        </w:rPr>
      </w:pPr>
      <w:r>
        <w:rPr>
          <w:rFonts w:hint="eastAsia"/>
          <w:color w:val="auto"/>
          <w:lang w:eastAsia="zh-CN"/>
        </w:rPr>
        <w:t>3.2.R.5可比性方案（如适用）</w:t>
      </w:r>
    </w:p>
    <w:p>
      <w:pPr>
        <w:spacing w:line="560" w:lineRule="exact"/>
        <w:ind w:firstLine="593"/>
        <w:rPr>
          <w:color w:val="auto"/>
          <w:lang w:eastAsia="zh-CN"/>
        </w:rPr>
      </w:pPr>
      <w:r>
        <w:rPr>
          <w:rFonts w:hint="eastAsia"/>
          <w:color w:val="auto"/>
          <w:lang w:eastAsia="zh-CN"/>
        </w:rPr>
        <w:t>3.2.R.6其他</w:t>
      </w:r>
    </w:p>
    <w:p>
      <w:pPr>
        <w:spacing w:line="560" w:lineRule="exact"/>
        <w:ind w:firstLine="593"/>
        <w:rPr>
          <w:color w:val="auto"/>
          <w:lang w:eastAsia="zh-CN"/>
        </w:rPr>
      </w:pPr>
      <w:r>
        <w:rPr>
          <w:color w:val="auto"/>
          <w:lang w:eastAsia="zh-CN"/>
        </w:rPr>
        <w:t>3.2.6关键原材料来源、宿主细胞来源等证明文件。</w:t>
      </w:r>
    </w:p>
    <w:p>
      <w:pPr>
        <w:spacing w:line="560" w:lineRule="exact"/>
        <w:ind w:firstLine="593"/>
        <w:rPr>
          <w:color w:val="auto"/>
          <w:lang w:eastAsia="zh-CN"/>
        </w:rPr>
      </w:pPr>
      <w:r>
        <w:rPr>
          <w:color w:val="auto"/>
          <w:lang w:eastAsia="zh-CN"/>
        </w:rPr>
        <w:t>3.3临床试验方案：对于申请减免临床试验的，应同时提交临床试验计划和方案。</w:t>
      </w:r>
    </w:p>
    <w:p>
      <w:pPr>
        <w:spacing w:line="560" w:lineRule="exact"/>
        <w:ind w:firstLine="593"/>
        <w:rPr>
          <w:lang w:eastAsia="zh-CN"/>
        </w:rPr>
      </w:pPr>
      <w:r>
        <w:rPr>
          <w:color w:val="auto"/>
          <w:lang w:eastAsia="zh-CN"/>
        </w:rPr>
        <w:t>3.4新药临床试验报告主文件应按照ICH</w:t>
      </w:r>
      <w:r>
        <w:rPr>
          <w:kern w:val="44"/>
          <w:lang w:eastAsia="zh-CN"/>
        </w:rPr>
        <w:t>《E3：临床研究报告的结构与内容》</w:t>
      </w:r>
      <w:r>
        <w:rPr>
          <w:color w:val="auto"/>
          <w:lang w:eastAsia="zh-CN"/>
        </w:rPr>
        <w:t>相关要求逐项提交，报告封面应符合ICH</w:t>
      </w:r>
      <w:r>
        <w:rPr>
          <w:color w:val="auto"/>
          <w:kern w:val="44"/>
          <w:lang w:eastAsia="zh-CN"/>
        </w:rPr>
        <w:t xml:space="preserve"> E3相关要求</w:t>
      </w:r>
      <w:r>
        <w:rPr>
          <w:kern w:val="44"/>
          <w:lang w:eastAsia="zh-CN"/>
        </w:rPr>
        <w:t>，</w:t>
      </w:r>
      <w:r>
        <w:rPr>
          <w:lang w:eastAsia="zh-CN"/>
        </w:rPr>
        <w:t>加盖临床研究机构有效公章，印章应加盖在文字处</w:t>
      </w:r>
      <w:r>
        <w:rPr>
          <w:color w:val="auto"/>
          <w:kern w:val="44"/>
          <w:lang w:eastAsia="zh-CN"/>
        </w:rPr>
        <w:t>。</w:t>
      </w:r>
      <w:r>
        <w:rPr>
          <w:lang w:eastAsia="zh-CN"/>
        </w:rPr>
        <w:t>临床试验数据库资料参照相关要求执行。</w:t>
      </w:r>
    </w:p>
    <w:p>
      <w:pPr>
        <w:overflowPunct w:val="0"/>
        <w:spacing w:line="560" w:lineRule="exact"/>
        <w:ind w:firstLine="593"/>
        <w:rPr>
          <w:color w:val="auto"/>
          <w:lang w:eastAsia="zh-CN"/>
        </w:rPr>
      </w:pPr>
      <w:r>
        <w:rPr>
          <w:color w:val="auto"/>
          <w:lang w:eastAsia="zh-CN"/>
        </w:rPr>
        <w:t>3.5</w:t>
      </w:r>
      <w:r>
        <w:rPr>
          <w:lang w:eastAsia="zh-CN"/>
        </w:rPr>
        <w:t>拟使用的药品通用名称，未列入国家药品标准或者药品注册标准的，应当在提出药品上市许可申请时同时提出通用名称核准申请，并</w:t>
      </w:r>
      <w:r>
        <w:rPr>
          <w:color w:val="auto"/>
          <w:lang w:eastAsia="zh-CN"/>
        </w:rPr>
        <w:t>提交通用名称核准相关资料，单独成袋。</w:t>
      </w:r>
    </w:p>
    <w:p>
      <w:pPr>
        <w:overflowPunct w:val="0"/>
        <w:spacing w:line="560" w:lineRule="exact"/>
        <w:ind w:firstLine="593"/>
        <w:rPr>
          <w:color w:val="auto"/>
          <w:lang w:eastAsia="zh-CN"/>
        </w:rPr>
      </w:pPr>
      <w:r>
        <w:rPr>
          <w:color w:val="auto"/>
          <w:lang w:eastAsia="zh-CN"/>
        </w:rPr>
        <w:t>3.6</w:t>
      </w:r>
      <w:r>
        <w:rPr>
          <w:lang w:eastAsia="zh-CN"/>
        </w:rPr>
        <w:t>拟申报注册的药械组合产品，已有同类产品经属性界定为药品的，按照药品进行申报；尚未经属性界定的，申请人应当在申报注册前向国家药品监督管理局申请产品属性界定。属性界定为药品为主的，按照《药品注册管理办法》规定的程序进行注册，</w:t>
      </w:r>
      <w:r>
        <w:rPr>
          <w:color w:val="auto"/>
          <w:lang w:eastAsia="zh-CN"/>
        </w:rPr>
        <w:t>其中医疗器械部分参照医疗器械注册申报资料要求提交，单独成袋。</w:t>
      </w:r>
    </w:p>
    <w:p>
      <w:pPr>
        <w:overflowPunct w:val="0"/>
        <w:spacing w:line="560" w:lineRule="exact"/>
        <w:ind w:firstLine="593"/>
        <w:rPr>
          <w:color w:val="auto"/>
          <w:lang w:eastAsia="zh-CN"/>
        </w:rPr>
      </w:pPr>
      <w:r>
        <w:rPr>
          <w:color w:val="auto"/>
          <w:lang w:eastAsia="zh-CN"/>
        </w:rPr>
        <w:t>3.7</w:t>
      </w:r>
      <w:r>
        <w:rPr>
          <w:lang w:eastAsia="zh-CN"/>
        </w:rPr>
        <w:t>申请人撤回注册申请后重新申报的，应对重新开展或者补充完善的相关情况进行详细说明。</w:t>
      </w:r>
    </w:p>
    <w:p>
      <w:pPr>
        <w:widowControl w:val="0"/>
        <w:spacing w:line="560" w:lineRule="exact"/>
        <w:ind w:firstLine="593"/>
        <w:rPr>
          <w:rFonts w:ascii="楷体_GB2312" w:eastAsia="楷体_GB2312"/>
          <w:lang w:eastAsia="zh-CN"/>
        </w:rPr>
      </w:pPr>
      <w:bookmarkStart w:id="16" w:name="_Toc36757019"/>
      <w:r>
        <w:rPr>
          <w:rFonts w:hint="eastAsia" w:ascii="楷体_GB2312" w:eastAsia="楷体_GB2312"/>
          <w:lang w:eastAsia="zh-CN"/>
        </w:rPr>
        <w:t>（五）其他提示</w:t>
      </w:r>
      <w:bookmarkEnd w:id="16"/>
    </w:p>
    <w:p>
      <w:pPr>
        <w:widowControl w:val="0"/>
        <w:spacing w:line="560" w:lineRule="exact"/>
        <w:ind w:firstLine="593"/>
        <w:rPr>
          <w:color w:val="auto"/>
          <w:lang w:eastAsia="zh-CN"/>
        </w:rPr>
      </w:pPr>
      <w:r>
        <w:rPr>
          <w:color w:val="auto"/>
          <w:lang w:eastAsia="zh-CN"/>
        </w:rPr>
        <w:t>1</w:t>
      </w:r>
      <w:r>
        <w:rPr>
          <w:lang w:eastAsia="zh-CN"/>
        </w:rPr>
        <w:t>．</w:t>
      </w:r>
      <w:r>
        <w:rPr>
          <w:color w:val="auto"/>
          <w:lang w:eastAsia="zh-CN"/>
        </w:rPr>
        <w:t>上市申请时，如</w:t>
      </w:r>
      <w:r>
        <w:rPr>
          <w:lang w:eastAsia="zh-CN"/>
        </w:rPr>
        <w:t>临床试验</w:t>
      </w:r>
      <w:r>
        <w:rPr>
          <w:color w:val="auto"/>
          <w:lang w:eastAsia="zh-CN"/>
        </w:rPr>
        <w:t>总结报告起始日期无法证明获准临床试验之日起三年内实施的，应提交获准临床试验之日起三年内的首例受试者知情同意书。</w:t>
      </w:r>
    </w:p>
    <w:p>
      <w:pPr>
        <w:widowControl w:val="0"/>
        <w:spacing w:line="560" w:lineRule="exact"/>
        <w:ind w:firstLine="593"/>
        <w:rPr>
          <w:lang w:eastAsia="zh-CN"/>
        </w:rPr>
      </w:pPr>
      <w:r>
        <w:rPr>
          <w:color w:val="auto"/>
          <w:lang w:eastAsia="zh-CN"/>
        </w:rPr>
        <w:t>2．</w:t>
      </w:r>
      <w:r>
        <w:rPr>
          <w:lang w:eastAsia="zh-CN"/>
        </w:rPr>
        <w:t>关于取消证明事项的公告中规定的“改为内部核查”的证明事项，按公告要求执行。</w:t>
      </w:r>
    </w:p>
    <w:p>
      <w:pPr>
        <w:widowControl w:val="0"/>
        <w:spacing w:line="560" w:lineRule="exact"/>
        <w:ind w:firstLine="593"/>
        <w:rPr>
          <w:lang w:eastAsia="zh-CN"/>
        </w:rPr>
      </w:pPr>
      <w:r>
        <w:rPr>
          <w:rFonts w:hint="eastAsia"/>
          <w:lang w:eastAsia="zh-CN"/>
        </w:rPr>
        <w:t>3.生物制品类体内诊断试剂按照《M4：人用药物注册申请通用技术文档（CTD》（以下简称CTD）撰写申报资料。</w:t>
      </w:r>
    </w:p>
    <w:p>
      <w:pPr>
        <w:widowControl w:val="0"/>
        <w:spacing w:line="560" w:lineRule="exact"/>
        <w:ind w:firstLine="593"/>
        <w:rPr>
          <w:color w:val="auto"/>
          <w:lang w:eastAsia="zh-CN"/>
        </w:rPr>
      </w:pPr>
      <w:r>
        <w:rPr>
          <w:lang w:eastAsia="zh-CN"/>
        </w:rPr>
        <w:t>4．</w:t>
      </w:r>
      <w:r>
        <w:rPr>
          <w:color w:val="auto"/>
          <w:lang w:eastAsia="zh-CN"/>
        </w:rPr>
        <w:t>对于已获准开展的临床试验期间或已获批上市的生物制品，提出新增适应症的，申请时与首次申请重复的资料可免于提交（模块一除外），但应在申报资料中列出首次申请中相关资料的编号。</w:t>
      </w:r>
    </w:p>
    <w:p>
      <w:pPr>
        <w:widowControl w:val="0"/>
        <w:spacing w:line="560" w:lineRule="exact"/>
        <w:ind w:firstLine="593"/>
        <w:rPr>
          <w:color w:val="auto"/>
          <w:lang w:eastAsia="zh-CN"/>
        </w:rPr>
      </w:pPr>
      <w:r>
        <w:rPr>
          <w:color w:val="auto"/>
          <w:lang w:eastAsia="zh-CN"/>
        </w:rPr>
        <w:t>5</w:t>
      </w:r>
      <w:r>
        <w:rPr>
          <w:lang w:eastAsia="zh-CN"/>
        </w:rPr>
        <w:t>．</w:t>
      </w:r>
      <w:r>
        <w:rPr>
          <w:color w:val="auto"/>
          <w:kern w:val="44"/>
          <w:lang w:eastAsia="zh-CN"/>
        </w:rPr>
        <w:t>单采血浆站应符合国家卫生行政管理部门颁布的《单采血浆站质量管理规范》的要求（如涉及）。</w:t>
      </w:r>
    </w:p>
    <w:p>
      <w:pPr>
        <w:widowControl w:val="0"/>
        <w:overflowPunct w:val="0"/>
        <w:spacing w:line="560" w:lineRule="exact"/>
        <w:ind w:firstLine="593"/>
        <w:rPr>
          <w:color w:val="auto"/>
          <w:lang w:eastAsia="zh-CN"/>
        </w:rPr>
      </w:pPr>
      <w:r>
        <w:rPr>
          <w:color w:val="auto"/>
          <w:lang w:eastAsia="zh-CN"/>
        </w:rPr>
        <w:t>6</w:t>
      </w:r>
      <w:r>
        <w:rPr>
          <w:lang w:eastAsia="zh-CN"/>
        </w:rPr>
        <w:t>．境外生产的药品所提交的境外药品管理机构出具的证明文件（包括允许药品上市销售证明文件</w:t>
      </w:r>
      <w:r>
        <w:rPr>
          <w:rFonts w:hint="eastAsia"/>
          <w:lang w:eastAsia="zh-CN"/>
        </w:rPr>
        <w:t>（如有）或其他相应证明文件</w:t>
      </w:r>
      <w:r>
        <w:rPr>
          <w:lang w:eastAsia="zh-CN"/>
        </w:rPr>
        <w:t>、符合药品生产质量管理规范证明文件以及允许药品变更证明文件等），为符合世界卫生组织推荐的统一格式原件的，可不经所在国公证机构公证及驻所在国中国使领馆认证。</w:t>
      </w:r>
    </w:p>
    <w:p>
      <w:pPr>
        <w:spacing w:line="560" w:lineRule="exact"/>
        <w:ind w:firstLine="593"/>
        <w:rPr>
          <w:kern w:val="44"/>
          <w:lang w:eastAsia="zh-CN"/>
        </w:rPr>
      </w:pPr>
      <w:r>
        <w:rPr>
          <w:kern w:val="44"/>
          <w:lang w:eastAsia="zh-CN"/>
        </w:rPr>
        <w:t>7</w:t>
      </w:r>
      <w:r>
        <w:rPr>
          <w:lang w:eastAsia="zh-CN"/>
        </w:rPr>
        <w:t>．</w:t>
      </w:r>
      <w:r>
        <w:rPr>
          <w:kern w:val="44"/>
          <w:lang w:eastAsia="zh-CN"/>
        </w:rPr>
        <w:t>申请人应当在三十日内完成补正资料，申请人无正当理由逾期不予补正的，视为放弃申请。</w:t>
      </w:r>
    </w:p>
    <w:p>
      <w:pPr>
        <w:widowControl w:val="0"/>
        <w:overflowPunct w:val="0"/>
        <w:spacing w:line="560" w:lineRule="exact"/>
        <w:ind w:firstLine="593"/>
        <w:outlineLvl w:val="3"/>
        <w:rPr>
          <w:rFonts w:eastAsia="黑体"/>
          <w:color w:val="auto"/>
          <w:lang w:eastAsia="zh-CN"/>
        </w:rPr>
      </w:pPr>
      <w:bookmarkStart w:id="17" w:name="_Toc33798938"/>
      <w:r>
        <w:rPr>
          <w:rFonts w:eastAsia="黑体"/>
          <w:color w:val="auto"/>
          <w:lang w:eastAsia="zh-CN"/>
        </w:rPr>
        <w:t>五、受理审查决定</w:t>
      </w:r>
      <w:bookmarkEnd w:id="17"/>
    </w:p>
    <w:p>
      <w:pPr>
        <w:widowControl w:val="0"/>
        <w:overflowPunct w:val="0"/>
        <w:spacing w:line="560" w:lineRule="exact"/>
        <w:ind w:firstLine="593"/>
        <w:outlineLvl w:val="3"/>
        <w:rPr>
          <w:rFonts w:eastAsia="楷体_GB2312"/>
          <w:color w:val="auto"/>
          <w:lang w:eastAsia="zh-CN"/>
        </w:rPr>
      </w:pPr>
      <w:bookmarkStart w:id="18" w:name="_Toc33798939"/>
      <w:r>
        <w:rPr>
          <w:rFonts w:eastAsia="楷体_GB2312"/>
          <w:color w:val="auto"/>
          <w:lang w:eastAsia="zh-CN"/>
        </w:rPr>
        <w:t>（一）受理</w:t>
      </w:r>
      <w:bookmarkEnd w:id="18"/>
    </w:p>
    <w:p>
      <w:pPr>
        <w:widowControl w:val="0"/>
        <w:overflowPunct w:val="0"/>
        <w:spacing w:line="560" w:lineRule="exact"/>
        <w:ind w:firstLine="593"/>
        <w:rPr>
          <w:color w:val="auto"/>
          <w:lang w:eastAsia="zh-CN"/>
        </w:rPr>
      </w:pPr>
      <w:r>
        <w:rPr>
          <w:color w:val="auto"/>
          <w:lang w:eastAsia="zh-CN"/>
        </w:rPr>
        <w:t>1</w:t>
      </w:r>
      <w:r>
        <w:rPr>
          <w:lang w:eastAsia="zh-CN"/>
        </w:rPr>
        <w:t>．</w:t>
      </w:r>
      <w:r>
        <w:rPr>
          <w:color w:val="auto"/>
          <w:lang w:eastAsia="zh-CN"/>
        </w:rPr>
        <w:t>受理通知单：符合形式审查要求的，出具《受理通知书》一式两份，一份给申请人，一份存入资料。</w:t>
      </w:r>
    </w:p>
    <w:p>
      <w:pPr>
        <w:widowControl w:val="0"/>
        <w:overflowPunct w:val="0"/>
        <w:spacing w:line="560" w:lineRule="exact"/>
        <w:ind w:firstLine="593"/>
        <w:rPr>
          <w:color w:val="auto"/>
          <w:lang w:eastAsia="zh-CN"/>
        </w:rPr>
      </w:pPr>
      <w:r>
        <w:rPr>
          <w:color w:val="auto"/>
          <w:lang w:eastAsia="zh-CN"/>
        </w:rPr>
        <w:t>2</w:t>
      </w:r>
      <w:r>
        <w:rPr>
          <w:lang w:eastAsia="zh-CN"/>
        </w:rPr>
        <w:t>．</w:t>
      </w:r>
      <w:r>
        <w:rPr>
          <w:color w:val="auto"/>
          <w:lang w:eastAsia="zh-CN"/>
        </w:rPr>
        <w:t>缴费通知书：需要缴费。</w:t>
      </w:r>
    </w:p>
    <w:p>
      <w:pPr>
        <w:widowControl w:val="0"/>
        <w:overflowPunct w:val="0"/>
        <w:spacing w:line="560" w:lineRule="exact"/>
        <w:ind w:firstLine="593"/>
        <w:outlineLvl w:val="3"/>
        <w:rPr>
          <w:color w:val="auto"/>
          <w:lang w:eastAsia="zh-CN"/>
        </w:rPr>
      </w:pPr>
      <w:bookmarkStart w:id="19" w:name="_Toc33798940"/>
      <w:r>
        <w:rPr>
          <w:rFonts w:hint="eastAsia"/>
          <w:color w:val="auto"/>
          <w:lang w:eastAsia="zh-CN"/>
        </w:rPr>
        <w:t>依照《关于发布药品、医疗器械产品注册收费标准的公告（2015年第53号）》、《关于化学药品新注册分类收费标准有关事宜的通告》（2016年第124号）及《化学药品注册分类改革工作方案》政策解读（二）等文件要求缴费。</w:t>
      </w:r>
    </w:p>
    <w:p>
      <w:pPr>
        <w:widowControl w:val="0"/>
        <w:overflowPunct w:val="0"/>
        <w:spacing w:line="560" w:lineRule="exact"/>
        <w:ind w:firstLine="593"/>
        <w:outlineLvl w:val="3"/>
        <w:rPr>
          <w:rFonts w:eastAsia="楷体_GB2312"/>
          <w:color w:val="auto"/>
          <w:lang w:eastAsia="zh-CN"/>
        </w:rPr>
      </w:pPr>
      <w:r>
        <w:rPr>
          <w:rFonts w:eastAsia="楷体_GB2312"/>
          <w:color w:val="auto"/>
          <w:lang w:eastAsia="zh-CN"/>
        </w:rPr>
        <w:t>（二）补正</w:t>
      </w:r>
      <w:bookmarkEnd w:id="19"/>
    </w:p>
    <w:p>
      <w:pPr>
        <w:widowControl w:val="0"/>
        <w:overflowPunct w:val="0"/>
        <w:spacing w:line="560" w:lineRule="exact"/>
        <w:ind w:firstLine="593"/>
        <w:rPr>
          <w:color w:val="auto"/>
          <w:lang w:eastAsia="zh-CN"/>
        </w:rPr>
      </w:pPr>
      <w:r>
        <w:rPr>
          <w:color w:val="auto"/>
          <w:lang w:eastAsia="zh-CN"/>
        </w:rPr>
        <w:t>申报资料不齐全或者不符合法定形式的，应一次告知申请人需要补正的全部内容，出具《补正通知书》。</w:t>
      </w:r>
    </w:p>
    <w:p>
      <w:pPr>
        <w:widowControl w:val="0"/>
        <w:overflowPunct w:val="0"/>
        <w:spacing w:line="560" w:lineRule="exact"/>
        <w:ind w:firstLine="593"/>
        <w:outlineLvl w:val="3"/>
        <w:rPr>
          <w:rFonts w:eastAsia="楷体_GB2312"/>
          <w:color w:val="auto"/>
          <w:lang w:eastAsia="zh-CN"/>
        </w:rPr>
      </w:pPr>
      <w:bookmarkStart w:id="20" w:name="_Toc33798941"/>
      <w:r>
        <w:rPr>
          <w:rFonts w:eastAsia="楷体_GB2312"/>
          <w:color w:val="auto"/>
          <w:lang w:eastAsia="zh-CN"/>
        </w:rPr>
        <w:t>（三）不予受理</w:t>
      </w:r>
      <w:bookmarkEnd w:id="20"/>
    </w:p>
    <w:p>
      <w:pPr>
        <w:widowControl w:val="0"/>
        <w:overflowPunct w:val="0"/>
        <w:spacing w:line="560" w:lineRule="exact"/>
        <w:ind w:firstLine="593"/>
        <w:rPr>
          <w:color w:val="auto"/>
          <w:lang w:eastAsia="zh-CN"/>
        </w:rPr>
      </w:pPr>
      <w:r>
        <w:rPr>
          <w:color w:val="auto"/>
          <w:lang w:eastAsia="zh-CN"/>
        </w:rPr>
        <w:t>不符合要求的，出具《不予受理通知书》，并说明理由。</w:t>
      </w:r>
    </w:p>
    <w:p>
      <w:pPr>
        <w:widowControl w:val="0"/>
        <w:overflowPunct w:val="0"/>
        <w:spacing w:line="560" w:lineRule="exact"/>
        <w:ind w:firstLine="593"/>
        <w:rPr>
          <w:rFonts w:eastAsia="楷体_GB2312"/>
          <w:color w:val="auto"/>
          <w:lang w:eastAsia="zh-CN"/>
        </w:rPr>
      </w:pPr>
      <w:r>
        <w:rPr>
          <w:color w:val="auto"/>
          <w:lang w:eastAsia="zh-CN"/>
        </w:rPr>
        <w:t>（四）</w:t>
      </w:r>
      <w:r>
        <w:rPr>
          <w:rFonts w:eastAsia="楷体_GB2312"/>
          <w:color w:val="auto"/>
          <w:lang w:eastAsia="zh-CN"/>
        </w:rPr>
        <w:t>受理流程图</w:t>
      </w:r>
      <w:r>
        <w:rPr>
          <w:rFonts w:eastAsia="楷体_GB2312"/>
          <w:color w:val="auto"/>
          <w:lang w:eastAsia="zh-CN"/>
        </w:rPr>
        <w:br w:type="page"/>
      </w:r>
    </w:p>
    <w:p>
      <w:pPr>
        <w:widowControl w:val="0"/>
        <w:ind w:firstLine="593"/>
        <w:rPr>
          <w:color w:val="auto"/>
          <w:lang w:eastAsia="zh-CN"/>
        </w:rPr>
      </w:pPr>
      <w:r>
        <w:rPr>
          <w:color w:val="auto"/>
          <w:lang w:eastAsia="zh-CN"/>
        </w:rPr>
        <mc:AlternateContent>
          <mc:Choice Requires="wps">
            <w:drawing>
              <wp:anchor distT="0" distB="0" distL="114300" distR="114300" simplePos="0" relativeHeight="251673600" behindDoc="0" locked="0" layoutInCell="1" allowOverlap="1">
                <wp:simplePos x="0" y="0"/>
                <wp:positionH relativeFrom="column">
                  <wp:posOffset>521335</wp:posOffset>
                </wp:positionH>
                <wp:positionV relativeFrom="paragraph">
                  <wp:posOffset>46355</wp:posOffset>
                </wp:positionV>
                <wp:extent cx="1382395" cy="614680"/>
                <wp:effectExtent l="7620" t="6350" r="10160" b="7620"/>
                <wp:wrapNone/>
                <wp:docPr id="14" name="矩形 1"/>
                <wp:cNvGraphicFramePr/>
                <a:graphic xmlns:a="http://schemas.openxmlformats.org/drawingml/2006/main">
                  <a:graphicData uri="http://schemas.microsoft.com/office/word/2010/wordprocessingShape">
                    <wps:wsp>
                      <wps:cNvSpPr>
                        <a:spLocks noChangeArrowheads="1"/>
                      </wps:cNvSpPr>
                      <wps:spPr bwMode="auto">
                        <a:xfrm>
                          <a:off x="0" y="0"/>
                          <a:ext cx="1382395" cy="614680"/>
                        </a:xfrm>
                        <a:prstGeom prst="rect">
                          <a:avLst/>
                        </a:prstGeom>
                        <a:solidFill>
                          <a:srgbClr val="FFFFFF"/>
                        </a:solidFill>
                        <a:ln w="6350">
                          <a:solidFill>
                            <a:srgbClr val="000000"/>
                          </a:solidFill>
                          <a:miter lim="800000"/>
                        </a:ln>
                      </wps:spPr>
                      <wps:txbx>
                        <w:txbxContent>
                          <w:p>
                            <w:pPr>
                              <w:spacing w:before="120" w:line="276" w:lineRule="auto"/>
                              <w:ind w:firstLine="0" w:firstLineChars="0"/>
                              <w:jc w:val="center"/>
                              <w:rPr>
                                <w:rFonts w:ascii="仿宋_GB2312"/>
                                <w:sz w:val="24"/>
                                <w:szCs w:val="24"/>
                              </w:rPr>
                            </w:pPr>
                            <w:r>
                              <w:rPr>
                                <w:rFonts w:hint="eastAsia" w:ascii="仿宋_GB2312"/>
                                <w:sz w:val="24"/>
                                <w:szCs w:val="24"/>
                              </w:rPr>
                              <w:t>资料申报</w:t>
                            </w:r>
                          </w:p>
                        </w:txbxContent>
                      </wps:txbx>
                      <wps:bodyPr rot="0" vert="horz" wrap="square" lIns="91440" tIns="45720" rIns="91440" bIns="45720" anchor="ctr" anchorCtr="0" upright="1">
                        <a:noAutofit/>
                      </wps:bodyPr>
                    </wps:wsp>
                  </a:graphicData>
                </a:graphic>
              </wp:anchor>
            </w:drawing>
          </mc:Choice>
          <mc:Fallback>
            <w:pict>
              <v:rect id="矩形 1" o:spid="_x0000_s1026" o:spt="1" style="position:absolute;left:0pt;margin-left:41.05pt;margin-top:3.65pt;height:48.4pt;width:108.85pt;z-index:251673600;v-text-anchor:middle;mso-width-relative:page;mso-height-relative:page;" fillcolor="#FFFFFF" filled="t" stroked="t" coordsize="21600,21600" o:gfxdata="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E4sNcAAAAI&#10;AQAADwAAAAAAAAABACAAAAAiAAAAZHJzL2Rvd25yZXYueG1sUEsBAhQAFAAAAAgAh07iQCYP6X0d&#10;AgAALwQAAA4AAAAAAAAAAQAgAAAAJgEAAGRycy9lMm9Eb2MueG1sUEsFBgAAAAAGAAYAWQEAALUF&#10;AAAAAA==&#10;">
                <v:fill on="t" focussize="0,0"/>
                <v:stroke weight="0.5pt" color="#000000" miterlimit="8" joinstyle="miter"/>
                <v:imagedata o:title=""/>
                <o:lock v:ext="edit" aspectratio="f"/>
                <v:textbox>
                  <w:txbxContent>
                    <w:p>
                      <w:pPr>
                        <w:spacing w:before="120" w:line="276" w:lineRule="auto"/>
                        <w:ind w:firstLine="0" w:firstLineChars="0"/>
                        <w:jc w:val="center"/>
                        <w:rPr>
                          <w:rFonts w:ascii="仿宋_GB2312"/>
                          <w:sz w:val="24"/>
                          <w:szCs w:val="24"/>
                        </w:rPr>
                      </w:pPr>
                      <w:r>
                        <w:rPr>
                          <w:rFonts w:hint="eastAsia" w:ascii="仿宋_GB2312"/>
                          <w:sz w:val="24"/>
                          <w:szCs w:val="24"/>
                        </w:rPr>
                        <w:t>资料申报</w:t>
                      </w:r>
                    </w:p>
                  </w:txbxContent>
                </v:textbox>
              </v:rect>
            </w:pict>
          </mc:Fallback>
        </mc:AlternateContent>
      </w:r>
    </w:p>
    <w:p>
      <w:pPr>
        <w:widowControl w:val="0"/>
        <w:ind w:firstLine="593"/>
        <w:rPr>
          <w:rFonts w:eastAsia="黑体"/>
          <w:color w:val="auto"/>
          <w:lang w:eastAsia="zh-CN"/>
        </w:rPr>
      </w:pPr>
      <w:r>
        <w:rPr>
          <w:color w:val="auto"/>
          <w:lang w:eastAsia="zh-CN"/>
        </w:rPr>
        <mc:AlternateContent>
          <mc:Choice Requires="wps">
            <w:drawing>
              <wp:anchor distT="0" distB="0" distL="114300" distR="114300" simplePos="0" relativeHeight="251675648" behindDoc="0" locked="0" layoutInCell="1" allowOverlap="1">
                <wp:simplePos x="0" y="0"/>
                <wp:positionH relativeFrom="column">
                  <wp:posOffset>1224915</wp:posOffset>
                </wp:positionH>
                <wp:positionV relativeFrom="paragraph">
                  <wp:posOffset>272415</wp:posOffset>
                </wp:positionV>
                <wp:extent cx="0" cy="455295"/>
                <wp:effectExtent l="82550" t="17780" r="79375" b="22225"/>
                <wp:wrapNone/>
                <wp:docPr id="15" name="直接箭头连接符 5"/>
                <wp:cNvGraphicFramePr/>
                <a:graphic xmlns:a="http://schemas.openxmlformats.org/drawingml/2006/main">
                  <a:graphicData uri="http://schemas.microsoft.com/office/word/2010/wordprocessingShape">
                    <wps:wsp>
                      <wps:cNvCnPr>
                        <a:cxnSpLocks noChangeShapeType="1"/>
                      </wps:cNvCnPr>
                      <wps:spPr bwMode="auto">
                        <a:xfrm flipH="1">
                          <a:off x="0" y="0"/>
                          <a:ext cx="0" cy="455295"/>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5" o:spid="_x0000_s1026" o:spt="32" type="#_x0000_t32" style="position:absolute;left:0pt;flip:x;margin-left:96.45pt;margin-top:21.45pt;height:35.85pt;width:0pt;z-index:251675648;mso-width-relative:page;mso-height-relative:page;" filled="f" stroked="t" coordsize="21600,21600" o:gfxdata="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1ITmfVAAAACgEAAA8AAAAAAAAAAQAgAAAAIgAAAGRycy9kb3ducmV2LnhtbFBLAQIU&#10;ABQAAAAIAIdO4kAsYbSf9gEAAKYDAAAOAAAAAAAAAAEAIAAAACQBAABkcnMvZTJvRG9jLnhtbFBL&#10;BQYAAAAABgAGAFkBAACMBQAAAAA=&#10;">
                <v:fill on="f" focussize="0,0"/>
                <v:stroke weight="1.5pt" color="#000000" joinstyle="round" endarrow="open"/>
                <v:imagedata o:title=""/>
                <o:lock v:ext="edit" aspectratio="f"/>
              </v:shape>
            </w:pict>
          </mc:Fallback>
        </mc:AlternateContent>
      </w:r>
    </w:p>
    <w:p>
      <w:pPr>
        <w:widowControl w:val="0"/>
        <w:ind w:firstLine="593"/>
        <w:rPr>
          <w:color w:val="auto"/>
          <w:lang w:eastAsia="zh-CN"/>
        </w:rPr>
      </w:pPr>
      <w:r>
        <w:rPr>
          <w:color w:val="auto"/>
          <w:lang w:eastAsia="zh-CN"/>
        </w:rPr>
        <mc:AlternateContent>
          <mc:Choice Requires="wps">
            <w:drawing>
              <wp:anchor distT="0" distB="0" distL="114300" distR="114300" simplePos="0" relativeHeight="251674624" behindDoc="0" locked="0" layoutInCell="1" allowOverlap="1">
                <wp:simplePos x="0" y="0"/>
                <wp:positionH relativeFrom="column">
                  <wp:posOffset>-125095</wp:posOffset>
                </wp:positionH>
                <wp:positionV relativeFrom="paragraph">
                  <wp:posOffset>308610</wp:posOffset>
                </wp:positionV>
                <wp:extent cx="2703195" cy="1284605"/>
                <wp:effectExtent l="18415" t="11430" r="21590" b="18415"/>
                <wp:wrapNone/>
                <wp:docPr id="16" name="流程图: 决策 3"/>
                <wp:cNvGraphicFramePr/>
                <a:graphic xmlns:a="http://schemas.openxmlformats.org/drawingml/2006/main">
                  <a:graphicData uri="http://schemas.microsoft.com/office/word/2010/wordprocessingShape">
                    <wps:wsp>
                      <wps:cNvSpPr>
                        <a:spLocks noChangeArrowheads="1"/>
                      </wps:cNvSpPr>
                      <wps:spPr bwMode="auto">
                        <a:xfrm>
                          <a:off x="0" y="0"/>
                          <a:ext cx="2703195" cy="1284605"/>
                        </a:xfrm>
                        <a:prstGeom prst="flowChartDecision">
                          <a:avLst/>
                        </a:prstGeom>
                        <a:solidFill>
                          <a:srgbClr val="FFFFFF"/>
                        </a:solidFill>
                        <a:ln w="6350">
                          <a:solidFill>
                            <a:srgbClr val="000000"/>
                          </a:solidFill>
                          <a:miter lim="800000"/>
                        </a:ln>
                      </wps:spPr>
                      <wps:txbx>
                        <w:txbxContent>
                          <w:p>
                            <w:pPr>
                              <w:adjustRightInd w:val="0"/>
                              <w:snapToGrid w:val="0"/>
                              <w:spacing w:line="240" w:lineRule="auto"/>
                              <w:ind w:left="-211" w:leftChars="-66" w:right="-144" w:rightChars="-45" w:firstLine="120" w:firstLineChars="50"/>
                              <w:jc w:val="center"/>
                              <w:rPr>
                                <w:rFonts w:ascii="仿宋_GB2312"/>
                                <w:sz w:val="24"/>
                                <w:szCs w:val="24"/>
                                <w:lang w:eastAsia="zh-CN"/>
                              </w:rPr>
                            </w:pPr>
                            <w:r>
                              <w:rPr>
                                <w:rFonts w:hint="eastAsia" w:ascii="仿宋_GB2312"/>
                                <w:sz w:val="24"/>
                                <w:szCs w:val="24"/>
                                <w:lang w:eastAsia="zh-CN"/>
                              </w:rPr>
                              <w:t>国家局药审中心</w:t>
                            </w:r>
                          </w:p>
                          <w:p>
                            <w:pPr>
                              <w:adjustRightInd w:val="0"/>
                              <w:snapToGrid w:val="0"/>
                              <w:spacing w:line="240" w:lineRule="auto"/>
                              <w:ind w:left="-211" w:leftChars="-66" w:right="-144" w:rightChars="-45" w:firstLine="120" w:firstLineChars="50"/>
                              <w:jc w:val="center"/>
                              <w:rPr>
                                <w:rFonts w:ascii="仿宋_GB2312"/>
                                <w:sz w:val="24"/>
                                <w:szCs w:val="24"/>
                                <w:lang w:eastAsia="zh-CN"/>
                              </w:rPr>
                            </w:pPr>
                            <w:r>
                              <w:rPr>
                                <w:rFonts w:hint="eastAsia" w:ascii="仿宋_GB2312"/>
                                <w:snapToGrid w:val="0"/>
                                <w:sz w:val="24"/>
                                <w:szCs w:val="24"/>
                                <w:lang w:eastAsia="zh-CN"/>
                              </w:rPr>
                              <w:t>签收资料并进行形式审查</w:t>
                            </w:r>
                          </w:p>
                        </w:txbxContent>
                      </wps:txbx>
                      <wps:bodyPr rot="0" vert="horz" wrap="square" lIns="91440" tIns="45720" rIns="91440" bIns="45720" anchor="ctr" anchorCtr="0" upright="1">
                        <a:noAutofit/>
                      </wps:bodyPr>
                    </wps:wsp>
                  </a:graphicData>
                </a:graphic>
              </wp:anchor>
            </w:drawing>
          </mc:Choice>
          <mc:Fallback>
            <w:pict>
              <v:shape id="流程图: 决策 3" o:spid="_x0000_s1026" o:spt="110" type="#_x0000_t110" style="position:absolute;left:0pt;margin-left:-9.85pt;margin-top:24.3pt;height:101.15pt;width:212.85pt;z-index:251674624;v-text-anchor:middle;mso-width-relative:page;mso-height-relative:page;" fillcolor="#FFFFFF" filled="t" stroked="t" coordsize="21600,21600" o:gfxdata="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&#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n0y22wAAAAoBAAAPAAAAAAAAAAEAIAAAACIAAABk&#10;cnMvZG93bnJldi54bWxQSwECFAAUAAAACACHTuJAFPVDITwCAABIBAAADgAAAAAAAAABACAAAAAq&#10;AQAAZHJzL2Uyb0RvYy54bWxQSwUGAAAAAAYABgBZAQAA2AUAAAAA&#10;">
                <v:fill on="t" focussize="0,0"/>
                <v:stroke weight="0.5pt" color="#000000" miterlimit="8" joinstyle="miter"/>
                <v:imagedata o:title=""/>
                <o:lock v:ext="edit" aspectratio="f"/>
                <v:textbox>
                  <w:txbxContent>
                    <w:p>
                      <w:pPr>
                        <w:adjustRightInd w:val="0"/>
                        <w:snapToGrid w:val="0"/>
                        <w:spacing w:line="240" w:lineRule="auto"/>
                        <w:ind w:left="-211" w:leftChars="-66" w:right="-144" w:rightChars="-45" w:firstLine="120" w:firstLineChars="50"/>
                        <w:jc w:val="center"/>
                        <w:rPr>
                          <w:rFonts w:ascii="仿宋_GB2312"/>
                          <w:sz w:val="24"/>
                          <w:szCs w:val="24"/>
                          <w:lang w:eastAsia="zh-CN"/>
                        </w:rPr>
                      </w:pPr>
                      <w:r>
                        <w:rPr>
                          <w:rFonts w:hint="eastAsia" w:ascii="仿宋_GB2312"/>
                          <w:sz w:val="24"/>
                          <w:szCs w:val="24"/>
                          <w:lang w:eastAsia="zh-CN"/>
                        </w:rPr>
                        <w:t>国家局药审中心</w:t>
                      </w:r>
                    </w:p>
                    <w:p>
                      <w:pPr>
                        <w:adjustRightInd w:val="0"/>
                        <w:snapToGrid w:val="0"/>
                        <w:spacing w:line="240" w:lineRule="auto"/>
                        <w:ind w:left="-211" w:leftChars="-66" w:right="-144" w:rightChars="-45" w:firstLine="120" w:firstLineChars="50"/>
                        <w:jc w:val="center"/>
                        <w:rPr>
                          <w:rFonts w:ascii="仿宋_GB2312"/>
                          <w:sz w:val="24"/>
                          <w:szCs w:val="24"/>
                          <w:lang w:eastAsia="zh-CN"/>
                        </w:rPr>
                      </w:pPr>
                      <w:r>
                        <w:rPr>
                          <w:rFonts w:hint="eastAsia" w:ascii="仿宋_GB2312"/>
                          <w:snapToGrid w:val="0"/>
                          <w:sz w:val="24"/>
                          <w:szCs w:val="24"/>
                          <w:lang w:eastAsia="zh-CN"/>
                        </w:rPr>
                        <w:t>签收资料并进行形式审查</w:t>
                      </w:r>
                    </w:p>
                  </w:txbxContent>
                </v:textbox>
              </v:shape>
            </w:pict>
          </mc:Fallback>
        </mc:AlternateContent>
      </w:r>
    </w:p>
    <w:p>
      <w:pPr>
        <w:widowControl w:val="0"/>
        <w:ind w:firstLine="593"/>
        <w:rPr>
          <w:color w:val="auto"/>
          <w:lang w:eastAsia="zh-CN"/>
        </w:rPr>
      </w:pPr>
      <w:r>
        <w:rPr>
          <w:color w:val="auto"/>
          <w:lang w:eastAsia="zh-CN"/>
        </w:rPr>
        <mc:AlternateContent>
          <mc:Choice Requires="wps">
            <w:drawing>
              <wp:anchor distT="0" distB="0" distL="114300" distR="114300" simplePos="0" relativeHeight="251681792" behindDoc="0" locked="0" layoutInCell="1" allowOverlap="1">
                <wp:simplePos x="0" y="0"/>
                <wp:positionH relativeFrom="column">
                  <wp:posOffset>2574925</wp:posOffset>
                </wp:positionH>
                <wp:positionV relativeFrom="paragraph">
                  <wp:posOffset>123190</wp:posOffset>
                </wp:positionV>
                <wp:extent cx="1056640" cy="335280"/>
                <wp:effectExtent l="13335" t="20955" r="15875" b="15240"/>
                <wp:wrapNone/>
                <wp:docPr id="17" name="矩形 12"/>
                <wp:cNvGraphicFramePr/>
                <a:graphic xmlns:a="http://schemas.openxmlformats.org/drawingml/2006/main">
                  <a:graphicData uri="http://schemas.microsoft.com/office/word/2010/wordprocessingShape">
                    <wps:wsp>
                      <wps:cNvSpPr>
                        <a:spLocks noChangeArrowheads="1"/>
                      </wps:cNvSpPr>
                      <wps:spPr bwMode="auto">
                        <a:xfrm>
                          <a:off x="0" y="0"/>
                          <a:ext cx="1056640" cy="335280"/>
                        </a:xfrm>
                        <a:prstGeom prst="rect">
                          <a:avLst/>
                        </a:prstGeom>
                        <a:solidFill>
                          <a:srgbClr val="FFFFFF"/>
                        </a:solidFill>
                        <a:ln w="25400">
                          <a:solidFill>
                            <a:srgbClr val="FFFFFF"/>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wps:txbx>
                      <wps:bodyPr rot="0" vert="horz" wrap="square" lIns="91440" tIns="45720" rIns="91440" bIns="45720" anchor="ctr" anchorCtr="0" upright="1">
                        <a:noAutofit/>
                      </wps:bodyPr>
                    </wps:wsp>
                  </a:graphicData>
                </a:graphic>
              </wp:anchor>
            </w:drawing>
          </mc:Choice>
          <mc:Fallback>
            <w:pict>
              <v:rect id="矩形 12" o:spid="_x0000_s1026" o:spt="1" style="position:absolute;left:0pt;margin-left:202.75pt;margin-top:9.7pt;height:26.4pt;width:83.2pt;z-index:251681792;v-text-anchor:middle;mso-width-relative:page;mso-height-relative:page;" fillcolor="#FFFFFF" filled="t" stroked="t" coordsize="21600,21600" o:gfxdata="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9i6kdkA&#10;AAAJAQAADwAAAAAAAAABACAAAAAiAAAAZHJzL2Rvd25yZXYueG1sUEsBAhQAFAAAAAgAh07iQA0m&#10;ASIeAgAAMQQAAA4AAAAAAAAAAQAgAAAAKAEAAGRycy9lMm9Eb2MueG1sUEsFBgAAAAAGAAYAWQEA&#10;ALgFAAAAAA==&#10;">
                <v:fill on="t" focussize="0,0"/>
                <v:stroke weight="2pt" color="#FFFFFF"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v:textbox>
              </v:rect>
            </w:pict>
          </mc:Fallback>
        </mc:AlternateContent>
      </w:r>
      <w:r>
        <w:rPr>
          <w:color w:val="auto"/>
          <w:lang w:eastAsia="zh-CN"/>
        </w:rPr>
        <mc:AlternateContent>
          <mc:Choice Requires="wps">
            <w:drawing>
              <wp:anchor distT="0" distB="0" distL="114300" distR="114300" simplePos="0" relativeHeight="251682816" behindDoc="0" locked="0" layoutInCell="1" allowOverlap="1">
                <wp:simplePos x="0" y="0"/>
                <wp:positionH relativeFrom="column">
                  <wp:posOffset>3641090</wp:posOffset>
                </wp:positionH>
                <wp:positionV relativeFrom="paragraph">
                  <wp:posOffset>13970</wp:posOffset>
                </wp:positionV>
                <wp:extent cx="1565275" cy="1024255"/>
                <wp:effectExtent l="12700" t="6985" r="12700" b="6985"/>
                <wp:wrapNone/>
                <wp:docPr id="18" name="矩形 13"/>
                <wp:cNvGraphicFramePr/>
                <a:graphic xmlns:a="http://schemas.openxmlformats.org/drawingml/2006/main">
                  <a:graphicData uri="http://schemas.microsoft.com/office/word/2010/wordprocessingShape">
                    <wps:wsp>
                      <wps:cNvSpPr>
                        <a:spLocks noChangeArrowheads="1"/>
                      </wps:cNvSpPr>
                      <wps:spPr bwMode="auto">
                        <a:xfrm>
                          <a:off x="0" y="0"/>
                          <a:ext cx="1565275" cy="1024255"/>
                        </a:xfrm>
                        <a:prstGeom prst="rect">
                          <a:avLst/>
                        </a:prstGeom>
                        <a:solidFill>
                          <a:srgbClr val="FFFFFF"/>
                        </a:solidFill>
                        <a:ln w="6350">
                          <a:solidFill>
                            <a:srgbClr val="000000"/>
                          </a:solidFill>
                          <a:miter lim="800000"/>
                        </a:ln>
                      </wps:spPr>
                      <wps:txbx>
                        <w:txbxContent>
                          <w:p>
                            <w:pPr>
                              <w:spacing w:line="240" w:lineRule="auto"/>
                              <w:ind w:firstLine="0" w:firstLineChars="0"/>
                              <w:jc w:val="center"/>
                              <w:rPr>
                                <w:rFonts w:ascii="仿宋_GB2312"/>
                                <w:sz w:val="24"/>
                                <w:szCs w:val="24"/>
                                <w:lang w:eastAsia="zh-CN"/>
                              </w:rPr>
                            </w:pPr>
                            <w:r>
                              <w:rPr>
                                <w:rFonts w:hint="eastAsia" w:ascii="仿宋_GB2312"/>
                                <w:sz w:val="24"/>
                                <w:szCs w:val="24"/>
                                <w:lang w:eastAsia="zh-CN"/>
                              </w:rPr>
                              <w:t>出具《补正通知书》或《不予受理通知书》并说明理由</w:t>
                            </w:r>
                          </w:p>
                        </w:txbxContent>
                      </wps:txbx>
                      <wps:bodyPr rot="0" vert="horz" wrap="square" lIns="91440" tIns="45720" rIns="91440" bIns="45720" anchor="ctr" anchorCtr="0" upright="1">
                        <a:noAutofit/>
                      </wps:bodyPr>
                    </wps:wsp>
                  </a:graphicData>
                </a:graphic>
              </wp:anchor>
            </w:drawing>
          </mc:Choice>
          <mc:Fallback>
            <w:pict>
              <v:rect id="矩形 13" o:spid="_x0000_s1026" o:spt="1" style="position:absolute;left:0pt;margin-left:286.7pt;margin-top:1.1pt;height:80.65pt;width:123.25pt;z-index:251682816;v-text-anchor:middle;mso-width-relative:page;mso-height-relative:page;" fillcolor="#FFFFFF" filled="t" stroked="t" coordsize="21600,21600" o:gfxdata="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KuERm&#10;2gAAAAkBAAAPAAAAAAAAAAEAIAAAACIAAABkcnMvZG93bnJldi54bWxQSwECFAAUAAAACACHTuJA&#10;JVcZix8CAAAxBAAADgAAAAAAAAABACAAAAApAQAAZHJzL2Uyb0RvYy54bWxQSwUGAAAAAAYABgBZ&#10;AQAAugUAAAAA&#10;">
                <v:fill on="t" focussize="0,0"/>
                <v:stroke weight="0.5pt" color="#000000" miterlimit="8" joinstyle="miter"/>
                <v:imagedata o:title=""/>
                <o:lock v:ext="edit" aspectratio="f"/>
                <v:textbox>
                  <w:txbxContent>
                    <w:p>
                      <w:pPr>
                        <w:spacing w:line="240" w:lineRule="auto"/>
                        <w:ind w:firstLine="0" w:firstLineChars="0"/>
                        <w:jc w:val="center"/>
                        <w:rPr>
                          <w:rFonts w:ascii="仿宋_GB2312"/>
                          <w:sz w:val="24"/>
                          <w:szCs w:val="24"/>
                          <w:lang w:eastAsia="zh-CN"/>
                        </w:rPr>
                      </w:pPr>
                      <w:r>
                        <w:rPr>
                          <w:rFonts w:hint="eastAsia" w:ascii="仿宋_GB2312"/>
                          <w:sz w:val="24"/>
                          <w:szCs w:val="24"/>
                          <w:lang w:eastAsia="zh-CN"/>
                        </w:rPr>
                        <w:t>出具《补正通知书》或《不予受理通知书》并说明理由</w:t>
                      </w:r>
                    </w:p>
                  </w:txbxContent>
                </v:textbox>
              </v:rect>
            </w:pict>
          </mc:Fallback>
        </mc:AlternateContent>
      </w:r>
    </w:p>
    <w:p>
      <w:pPr>
        <w:widowControl w:val="0"/>
        <w:ind w:firstLine="593"/>
        <w:rPr>
          <w:color w:val="auto"/>
          <w:lang w:eastAsia="zh-CN"/>
        </w:rPr>
      </w:pPr>
      <w:r>
        <w:rPr>
          <w:color w:val="auto"/>
          <w:lang w:eastAsia="zh-CN"/>
        </w:rPr>
        <mc:AlternateContent>
          <mc:Choice Requires="wps">
            <w:drawing>
              <wp:anchor distT="0" distB="0" distL="114300" distR="114300" simplePos="0" relativeHeight="251680768" behindDoc="0" locked="0" layoutInCell="1" allowOverlap="1">
                <wp:simplePos x="0" y="0"/>
                <wp:positionH relativeFrom="column">
                  <wp:posOffset>2574925</wp:posOffset>
                </wp:positionH>
                <wp:positionV relativeFrom="paragraph">
                  <wp:posOffset>154940</wp:posOffset>
                </wp:positionV>
                <wp:extent cx="1056640" cy="0"/>
                <wp:effectExtent l="0" t="76200" r="10160" b="114300"/>
                <wp:wrapNone/>
                <wp:docPr id="19" name="直接箭头连接符 11"/>
                <wp:cNvGraphicFramePr/>
                <a:graphic xmlns:a="http://schemas.openxmlformats.org/drawingml/2006/main">
                  <a:graphicData uri="http://schemas.microsoft.com/office/word/2010/wordprocessingShape">
                    <wps:wsp>
                      <wps:cNvCnPr>
                        <a:cxnSpLocks noChangeShapeType="1"/>
                      </wps:cNvCnPr>
                      <wps:spPr bwMode="auto">
                        <a:xfrm>
                          <a:off x="0" y="0"/>
                          <a:ext cx="1056640" cy="0"/>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11" o:spid="_x0000_s1026" o:spt="32" type="#_x0000_t32" style="position:absolute;left:0pt;margin-left:202.75pt;margin-top:12.2pt;height:0pt;width:83.2pt;z-index:251680768;mso-width-relative:page;mso-height-relative:page;" filled="f" stroked="t" coordsize="21600,21600" o:gfxdata="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SYs4Q2QAAAAkBAAAPAAAAAAAAAAEAIAAAACIAAABkcnMvZG93bnJldi54bWxQSwECFAAU&#10;AAAACACHTuJAZz4JlPABAACeAwAADgAAAAAAAAABACAAAAAoAQAAZHJzL2Uyb0RvYy54bWxQSwUG&#10;AAAAAAYABgBZAQAAigUAAAAA&#10;">
                <v:fill on="f" focussize="0,0"/>
                <v:stroke weight="1.5pt" color="#000000" joinstyle="round" endarrow="open"/>
                <v:imagedata o:title=""/>
                <o:lock v:ext="edit" aspectratio="f"/>
              </v:shape>
            </w:pict>
          </mc:Fallback>
        </mc:AlternateContent>
      </w:r>
    </w:p>
    <w:p>
      <w:pPr>
        <w:widowControl w:val="0"/>
        <w:ind w:firstLine="593"/>
        <w:rPr>
          <w:color w:val="auto"/>
          <w:lang w:eastAsia="zh-CN"/>
        </w:rPr>
      </w:pPr>
    </w:p>
    <w:p>
      <w:pPr>
        <w:widowControl w:val="0"/>
        <w:ind w:firstLine="593"/>
        <w:rPr>
          <w:color w:val="auto"/>
          <w:lang w:eastAsia="zh-CN"/>
        </w:rPr>
      </w:pPr>
      <w:r>
        <w:rPr>
          <w:color w:val="auto"/>
          <w:lang w:eastAsia="zh-CN"/>
        </w:rPr>
        <mc:AlternateContent>
          <mc:Choice Requires="wps">
            <w:drawing>
              <wp:anchor distT="0" distB="0" distL="114300" distR="114300" simplePos="0" relativeHeight="251676672" behindDoc="0" locked="0" layoutInCell="1" allowOverlap="1">
                <wp:simplePos x="0" y="0"/>
                <wp:positionH relativeFrom="column">
                  <wp:posOffset>1236980</wp:posOffset>
                </wp:positionH>
                <wp:positionV relativeFrom="paragraph">
                  <wp:posOffset>77470</wp:posOffset>
                </wp:positionV>
                <wp:extent cx="1016000" cy="440690"/>
                <wp:effectExtent l="0" t="0" r="12700" b="16510"/>
                <wp:wrapNone/>
                <wp:docPr id="21" name="矩形 7"/>
                <wp:cNvGraphicFramePr/>
                <a:graphic xmlns:a="http://schemas.openxmlformats.org/drawingml/2006/main">
                  <a:graphicData uri="http://schemas.microsoft.com/office/word/2010/wordprocessingShape">
                    <wps:wsp>
                      <wps:cNvSpPr>
                        <a:spLocks noChangeArrowheads="1"/>
                      </wps:cNvSpPr>
                      <wps:spPr bwMode="auto">
                        <a:xfrm>
                          <a:off x="0" y="0"/>
                          <a:ext cx="1016000" cy="440690"/>
                        </a:xfrm>
                        <a:prstGeom prst="rect">
                          <a:avLst/>
                        </a:prstGeom>
                        <a:solidFill>
                          <a:srgbClr val="FFFFFF"/>
                        </a:solidFill>
                        <a:ln w="25400">
                          <a:solidFill>
                            <a:srgbClr val="FFFFFF"/>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符合要求</w:t>
                            </w:r>
                          </w:p>
                        </w:txbxContent>
                      </wps:txbx>
                      <wps:bodyPr rot="0" vert="horz" wrap="square" lIns="91440" tIns="45720" rIns="91440" bIns="45720" anchor="ctr" anchorCtr="0" upright="1">
                        <a:noAutofit/>
                      </wps:bodyPr>
                    </wps:wsp>
                  </a:graphicData>
                </a:graphic>
              </wp:anchor>
            </w:drawing>
          </mc:Choice>
          <mc:Fallback>
            <w:pict>
              <v:rect id="矩形 7" o:spid="_x0000_s1026" o:spt="1" style="position:absolute;left:0pt;margin-left:97.4pt;margin-top:6.1pt;height:34.7pt;width:80pt;z-index:251676672;v-text-anchor:middle;mso-width-relative:page;mso-height-relative:page;" fillcolor="#FFFFFF" filled="t" stroked="t" coordsize="21600,21600" o:gfxdata="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2cdvedgAAAAJAQAA&#10;DwAAAAAAAAABACAAAAAiAAAAZHJzL2Rvd25yZXYueG1sUEsBAhQAFAAAAAgAh07iQBxL90sZAgAA&#10;MAQAAA4AAAAAAAAAAQAgAAAAJwEAAGRycy9lMm9Eb2MueG1sUEsFBgAAAAAGAAYAWQEAALIFAAAA&#10;AA==&#10;">
                <v:fill on="t" focussize="0,0"/>
                <v:stroke weight="2pt" color="#FFFFFF"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符合要求</w:t>
                      </w:r>
                    </w:p>
                  </w:txbxContent>
                </v:textbox>
              </v:rect>
            </w:pict>
          </mc:Fallback>
        </mc:AlternateContent>
      </w:r>
      <w:r>
        <w:rPr>
          <w:color w:val="auto"/>
          <w:lang w:eastAsia="zh-CN"/>
        </w:rPr>
        <mc:AlternateContent>
          <mc:Choice Requires="wps">
            <w:drawing>
              <wp:anchor distT="0" distB="0" distL="114300" distR="114300" simplePos="0" relativeHeight="251684864" behindDoc="0" locked="0" layoutInCell="1" allowOverlap="1">
                <wp:simplePos x="0" y="0"/>
                <wp:positionH relativeFrom="column">
                  <wp:posOffset>1236345</wp:posOffset>
                </wp:positionH>
                <wp:positionV relativeFrom="paragraph">
                  <wp:posOffset>8255</wp:posOffset>
                </wp:positionV>
                <wp:extent cx="0" cy="705485"/>
                <wp:effectExtent l="84455" t="15875" r="77470" b="21590"/>
                <wp:wrapNone/>
                <wp:docPr id="20" name="AutoShape 14"/>
                <wp:cNvGraphicFramePr/>
                <a:graphic xmlns:a="http://schemas.openxmlformats.org/drawingml/2006/main">
                  <a:graphicData uri="http://schemas.microsoft.com/office/word/2010/wordprocessingShape">
                    <wps:wsp>
                      <wps:cNvCnPr>
                        <a:cxnSpLocks noChangeShapeType="1"/>
                      </wps:cNvCnPr>
                      <wps:spPr bwMode="auto">
                        <a:xfrm flipH="1">
                          <a:off x="0" y="0"/>
                          <a:ext cx="0" cy="705485"/>
                        </a:xfrm>
                        <a:prstGeom prst="straightConnector1">
                          <a:avLst/>
                        </a:prstGeom>
                        <a:noFill/>
                        <a:ln w="19050">
                          <a:solidFill>
                            <a:srgbClr val="000000"/>
                          </a:solidFill>
                          <a:round/>
                          <a:tailEnd type="arrow" w="med" len="med"/>
                        </a:ln>
                      </wps:spPr>
                      <wps:bodyPr/>
                    </wps:wsp>
                  </a:graphicData>
                </a:graphic>
              </wp:anchor>
            </w:drawing>
          </mc:Choice>
          <mc:Fallback>
            <w:pict>
              <v:shape id="AutoShape 14" o:spid="_x0000_s1026" o:spt="32" type="#_x0000_t32" style="position:absolute;left:0pt;flip:x;margin-left:97.35pt;margin-top:0.65pt;height:55.55pt;width:0pt;z-index:251684864;mso-width-relative:page;mso-height-relative:page;" filled="f" stroked="t" coordsize="21600,21600" o:gfxdata="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8fE/odQAAAAJAQAADwAAAAAAAAABACAA&#10;AAAiAAAAZHJzL2Rvd25yZXYueG1sUEsBAhQAFAAAAAgAh07iQGBTbhTYAQAAmwMAAA4AAAAAAAAA&#10;AQAgAAAAIwEAAGRycy9lMm9Eb2MueG1sUEsFBgAAAAAGAAYAWQEAAG0FAAAAAA==&#10;">
                <v:fill on="f" focussize="0,0"/>
                <v:stroke weight="1.5pt" color="#000000" joinstyle="round" endarrow="open"/>
                <v:imagedata o:title=""/>
                <o:lock v:ext="edit" aspectratio="f"/>
              </v:shape>
            </w:pict>
          </mc:Fallback>
        </mc:AlternateContent>
      </w:r>
    </w:p>
    <w:p>
      <w:pPr>
        <w:widowControl w:val="0"/>
        <w:ind w:firstLine="593"/>
        <w:rPr>
          <w:color w:val="auto"/>
          <w:lang w:eastAsia="zh-CN"/>
        </w:rPr>
      </w:pPr>
      <w:r>
        <w:rPr>
          <w:color w:val="auto"/>
          <w:lang w:eastAsia="zh-CN"/>
        </w:rPr>
        <mc:AlternateContent>
          <mc:Choice Requires="wps">
            <w:drawing>
              <wp:anchor distT="0" distB="0" distL="114300" distR="114300" simplePos="0" relativeHeight="251677696" behindDoc="0" locked="0" layoutInCell="1" allowOverlap="1">
                <wp:simplePos x="0" y="0"/>
                <wp:positionH relativeFrom="column">
                  <wp:posOffset>248920</wp:posOffset>
                </wp:positionH>
                <wp:positionV relativeFrom="paragraph">
                  <wp:posOffset>325120</wp:posOffset>
                </wp:positionV>
                <wp:extent cx="1981835" cy="835660"/>
                <wp:effectExtent l="11430" t="13335" r="6985" b="8255"/>
                <wp:wrapNone/>
                <wp:docPr id="22" name="矩形 8"/>
                <wp:cNvGraphicFramePr/>
                <a:graphic xmlns:a="http://schemas.openxmlformats.org/drawingml/2006/main">
                  <a:graphicData uri="http://schemas.microsoft.com/office/word/2010/wordprocessingShape">
                    <wps:wsp>
                      <wps:cNvSpPr>
                        <a:spLocks noChangeArrowheads="1"/>
                      </wps:cNvSpPr>
                      <wps:spPr bwMode="auto">
                        <a:xfrm>
                          <a:off x="0" y="0"/>
                          <a:ext cx="1981835" cy="835660"/>
                        </a:xfrm>
                        <a:prstGeom prst="rect">
                          <a:avLst/>
                        </a:prstGeom>
                        <a:solidFill>
                          <a:srgbClr val="FFFFFF"/>
                        </a:solidFill>
                        <a:ln w="6350">
                          <a:solidFill>
                            <a:srgbClr val="000000"/>
                          </a:solidFill>
                          <a:miter lim="800000"/>
                        </a:ln>
                      </wps:spPr>
                      <wps:txbx>
                        <w:txbxContent>
                          <w:p>
                            <w:pPr>
                              <w:spacing w:line="240" w:lineRule="auto"/>
                              <w:ind w:firstLine="0" w:firstLineChars="0"/>
                              <w:rPr>
                                <w:rFonts w:ascii="仿宋_GB2312"/>
                                <w:sz w:val="24"/>
                                <w:szCs w:val="24"/>
                                <w:lang w:eastAsia="zh-CN"/>
                              </w:rPr>
                            </w:pPr>
                            <w:r>
                              <w:rPr>
                                <w:rFonts w:hint="eastAsia" w:ascii="仿宋_GB2312"/>
                                <w:sz w:val="24"/>
                                <w:szCs w:val="24"/>
                                <w:lang w:eastAsia="zh-CN"/>
                              </w:rPr>
                              <w:t>国家局药审中心出具《受理通知书》、《缴费通知书》等</w:t>
                            </w:r>
                          </w:p>
                        </w:txbxContent>
                      </wps:txbx>
                      <wps:bodyPr rot="0" vert="horz" wrap="square" lIns="91440" tIns="45720" rIns="91440" bIns="45720" anchor="ctr" anchorCtr="0" upright="1">
                        <a:noAutofit/>
                      </wps:bodyPr>
                    </wps:wsp>
                  </a:graphicData>
                </a:graphic>
              </wp:anchor>
            </w:drawing>
          </mc:Choice>
          <mc:Fallback>
            <w:pict>
              <v:rect id="矩形 8" o:spid="_x0000_s1026" o:spt="1" style="position:absolute;left:0pt;margin-left:19.6pt;margin-top:25.6pt;height:65.8pt;width:156.05pt;z-index:251677696;v-text-anchor:middle;mso-width-relative:page;mso-height-relative:page;" fillcolor="#FFFFFF" filled="t" stroked="t" coordsize="21600,21600" o:gfxdata="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uEbgjYAAAA&#10;CQEAAA8AAAAAAAAAAQAgAAAAIgAAAGRycy9kb3ducmV2LnhtbFBLAQIUABQAAAAIAIdO4kDkdzPQ&#10;HQIAAC8EAAAOAAAAAAAAAAEAIAAAACcBAABkcnMvZTJvRG9jLnhtbFBLBQYAAAAABgAGAFkBAAC2&#10;BQAAAAA=&#10;">
                <v:fill on="t" focussize="0,0"/>
                <v:stroke weight="0.5pt" color="#000000" miterlimit="8" joinstyle="miter"/>
                <v:imagedata o:title=""/>
                <o:lock v:ext="edit" aspectratio="f"/>
                <v:textbox>
                  <w:txbxContent>
                    <w:p>
                      <w:pPr>
                        <w:spacing w:line="240" w:lineRule="auto"/>
                        <w:ind w:firstLine="0" w:firstLineChars="0"/>
                        <w:rPr>
                          <w:rFonts w:ascii="仿宋_GB2312"/>
                          <w:sz w:val="24"/>
                          <w:szCs w:val="24"/>
                          <w:lang w:eastAsia="zh-CN"/>
                        </w:rPr>
                      </w:pPr>
                      <w:r>
                        <w:rPr>
                          <w:rFonts w:hint="eastAsia" w:ascii="仿宋_GB2312"/>
                          <w:sz w:val="24"/>
                          <w:szCs w:val="24"/>
                          <w:lang w:eastAsia="zh-CN"/>
                        </w:rPr>
                        <w:t>国家局药审中心出具《受理通知书》、《缴费通知书》等</w:t>
                      </w:r>
                    </w:p>
                  </w:txbxContent>
                </v:textbox>
              </v:rect>
            </w:pict>
          </mc:Fallback>
        </mc:AlternateContent>
      </w:r>
    </w:p>
    <w:p>
      <w:pPr>
        <w:widowControl w:val="0"/>
        <w:ind w:firstLine="593"/>
        <w:rPr>
          <w:color w:val="auto"/>
          <w:lang w:eastAsia="zh-CN"/>
        </w:rPr>
      </w:pPr>
    </w:p>
    <w:p>
      <w:pPr>
        <w:widowControl w:val="0"/>
        <w:ind w:firstLine="593"/>
        <w:rPr>
          <w:color w:val="auto"/>
          <w:lang w:eastAsia="zh-CN"/>
        </w:rPr>
      </w:pPr>
    </w:p>
    <w:p>
      <w:pPr>
        <w:widowControl w:val="0"/>
        <w:ind w:firstLine="593"/>
        <w:rPr>
          <w:color w:val="auto"/>
          <w:lang w:eastAsia="zh-CN"/>
        </w:rPr>
      </w:pPr>
      <w:r>
        <w:rPr>
          <w:color w:val="auto"/>
          <w:lang w:eastAsia="zh-CN"/>
        </w:rPr>
        <mc:AlternateContent>
          <mc:Choice Requires="wps">
            <w:drawing>
              <wp:anchor distT="0" distB="0" distL="114300" distR="114300" simplePos="0" relativeHeight="251678720" behindDoc="0" locked="0" layoutInCell="1" allowOverlap="1">
                <wp:simplePos x="0" y="0"/>
                <wp:positionH relativeFrom="column">
                  <wp:posOffset>1236345</wp:posOffset>
                </wp:positionH>
                <wp:positionV relativeFrom="paragraph">
                  <wp:posOffset>5080</wp:posOffset>
                </wp:positionV>
                <wp:extent cx="0" cy="705485"/>
                <wp:effectExtent l="84455" t="12700" r="77470" b="24765"/>
                <wp:wrapNone/>
                <wp:docPr id="23" name="直接箭头连接符 9"/>
                <wp:cNvGraphicFramePr/>
                <a:graphic xmlns:a="http://schemas.openxmlformats.org/drawingml/2006/main">
                  <a:graphicData uri="http://schemas.microsoft.com/office/word/2010/wordprocessingShape">
                    <wps:wsp>
                      <wps:cNvCnPr>
                        <a:cxnSpLocks noChangeShapeType="1"/>
                      </wps:cNvCnPr>
                      <wps:spPr bwMode="auto">
                        <a:xfrm flipH="1">
                          <a:off x="0" y="0"/>
                          <a:ext cx="0" cy="705485"/>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9" o:spid="_x0000_s1026" o:spt="32" type="#_x0000_t32" style="position:absolute;left:0pt;flip:x;margin-left:97.35pt;margin-top:0.4pt;height:55.55pt;width:0pt;z-index:251678720;mso-width-relative:page;mso-height-relative:page;" filled="f" stroked="t" coordsize="21600,21600" o:gfxdata="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D1KJdQAAAAIAQAADwAAAAAAAAABACAAAAAiAAAAZHJzL2Rvd25yZXYueG1sUEsBAhQA&#10;FAAAAAgAh07iQLWkjfj2AQAApgMAAA4AAAAAAAAAAQAgAAAAIwEAAGRycy9lMm9Eb2MueG1sUEsF&#10;BgAAAAAGAAYAWQEAAIsFAAAAAA==&#10;">
                <v:fill on="f" focussize="0,0"/>
                <v:stroke weight="1.5pt" color="#000000" joinstyle="round" endarrow="open"/>
                <v:imagedata o:title=""/>
                <o:lock v:ext="edit" aspectratio="f"/>
              </v:shape>
            </w:pict>
          </mc:Fallback>
        </mc:AlternateContent>
      </w:r>
    </w:p>
    <w:p>
      <w:pPr>
        <w:widowControl w:val="0"/>
        <w:ind w:firstLine="593"/>
        <w:rPr>
          <w:rFonts w:eastAsia="黑体"/>
          <w:color w:val="auto"/>
          <w:lang w:eastAsia="zh-CN"/>
        </w:rPr>
      </w:pPr>
      <w:r>
        <w:rPr>
          <w:color w:val="auto"/>
          <w:lang w:eastAsia="zh-CN"/>
        </w:rPr>
        <mc:AlternateContent>
          <mc:Choice Requires="wps">
            <w:drawing>
              <wp:anchor distT="0" distB="0" distL="114300" distR="114300" simplePos="0" relativeHeight="251683840" behindDoc="0" locked="0" layoutInCell="1" allowOverlap="1">
                <wp:simplePos x="0" y="0"/>
                <wp:positionH relativeFrom="column">
                  <wp:posOffset>430530</wp:posOffset>
                </wp:positionH>
                <wp:positionV relativeFrom="paragraph">
                  <wp:posOffset>324485</wp:posOffset>
                </wp:positionV>
                <wp:extent cx="1605915" cy="683260"/>
                <wp:effectExtent l="12065" t="12700" r="10795" b="8890"/>
                <wp:wrapNone/>
                <wp:docPr id="25" name="流程图: 可选过程 14"/>
                <wp:cNvGraphicFramePr/>
                <a:graphic xmlns:a="http://schemas.openxmlformats.org/drawingml/2006/main">
                  <a:graphicData uri="http://schemas.microsoft.com/office/word/2010/wordprocessingShape">
                    <wps:wsp>
                      <wps:cNvSpPr>
                        <a:spLocks noChangeArrowheads="1"/>
                      </wps:cNvSpPr>
                      <wps:spPr bwMode="auto">
                        <a:xfrm>
                          <a:off x="0" y="0"/>
                          <a:ext cx="1605915" cy="683260"/>
                        </a:xfrm>
                        <a:prstGeom prst="flowChartAlternateProcess">
                          <a:avLst/>
                        </a:prstGeom>
                        <a:solidFill>
                          <a:srgbClr val="FFFFFF"/>
                        </a:solidFill>
                        <a:ln w="6350">
                          <a:solidFill>
                            <a:srgbClr val="000000"/>
                          </a:solidFill>
                          <a:miter lim="800000"/>
                        </a:ln>
                      </wps:spPr>
                      <wps:txbx>
                        <w:txbxContent>
                          <w:p>
                            <w:pPr>
                              <w:adjustRightInd w:val="0"/>
                              <w:snapToGrid w:val="0"/>
                              <w:spacing w:line="240" w:lineRule="auto"/>
                              <w:ind w:firstLine="0" w:firstLineChars="0"/>
                              <w:jc w:val="center"/>
                              <w:rPr>
                                <w:rFonts w:ascii="仿宋_GB2312"/>
                                <w:sz w:val="24"/>
                                <w:szCs w:val="24"/>
                                <w:lang w:eastAsia="zh-CN"/>
                              </w:rPr>
                            </w:pPr>
                            <w:r>
                              <w:rPr>
                                <w:rFonts w:hint="eastAsia" w:ascii="仿宋_GB2312"/>
                                <w:sz w:val="24"/>
                                <w:szCs w:val="24"/>
                                <w:lang w:eastAsia="zh-CN"/>
                              </w:rPr>
                              <w:t>国家局药审</w:t>
                            </w:r>
                          </w:p>
                          <w:p>
                            <w:pPr>
                              <w:adjustRightInd w:val="0"/>
                              <w:snapToGrid w:val="0"/>
                              <w:spacing w:line="240" w:lineRule="auto"/>
                              <w:ind w:firstLine="0" w:firstLineChars="0"/>
                              <w:jc w:val="center"/>
                              <w:rPr>
                                <w:rFonts w:ascii="仿宋_GB2312"/>
                                <w:sz w:val="24"/>
                                <w:szCs w:val="24"/>
                                <w:lang w:eastAsia="zh-CN"/>
                              </w:rPr>
                            </w:pPr>
                            <w:r>
                              <w:rPr>
                                <w:rFonts w:hint="eastAsia" w:ascii="仿宋_GB2312"/>
                                <w:sz w:val="24"/>
                                <w:szCs w:val="24"/>
                                <w:lang w:eastAsia="zh-CN"/>
                              </w:rPr>
                              <w:t>中心技术审评</w:t>
                            </w:r>
                          </w:p>
                        </w:txbxContent>
                      </wps:txbx>
                      <wps:bodyPr rot="0" vert="horz" wrap="square" lIns="91440" tIns="45720" rIns="91440" bIns="45720" anchor="ctr" anchorCtr="0" upright="1">
                        <a:noAutofit/>
                      </wps:bodyPr>
                    </wps:wsp>
                  </a:graphicData>
                </a:graphic>
              </wp:anchor>
            </w:drawing>
          </mc:Choice>
          <mc:Fallback>
            <w:pict>
              <v:shape id="流程图: 可选过程 14" o:spid="_x0000_s1026" o:spt="176" type="#_x0000_t176" style="position:absolute;left:0pt;margin-left:33.9pt;margin-top:25.55pt;height:53.8pt;width:126.45pt;z-index:251683840;v-text-anchor:middle;mso-width-relative:page;mso-height-relative:page;" fillcolor="#FFFFFF" filled="t" stroked="t" coordsize="21600,21600" o:gfxdata="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5t1+92QAAAAkBAAAPAAAAAAAAAAEA&#10;IAAAACIAAABkcnMvZG93bnJldi54bWxQSwECFAAUAAAACACHTuJASe3X1EcCAABWBAAADgAAAAAA&#10;AAABACAAAAAoAQAAZHJzL2Uyb0RvYy54bWxQSwUGAAAAAAYABgBZAQAA4QUAAAAA&#10;">
                <v:fill on="t" focussize="0,0"/>
                <v:stroke weight="0.5pt" color="#000000" miterlimit="8" joinstyle="miter"/>
                <v:imagedata o:title=""/>
                <o:lock v:ext="edit" aspectratio="f"/>
                <v:textbox>
                  <w:txbxContent>
                    <w:p>
                      <w:pPr>
                        <w:adjustRightInd w:val="0"/>
                        <w:snapToGrid w:val="0"/>
                        <w:spacing w:line="240" w:lineRule="auto"/>
                        <w:ind w:firstLine="0" w:firstLineChars="0"/>
                        <w:jc w:val="center"/>
                        <w:rPr>
                          <w:rFonts w:ascii="仿宋_GB2312"/>
                          <w:sz w:val="24"/>
                          <w:szCs w:val="24"/>
                          <w:lang w:eastAsia="zh-CN"/>
                        </w:rPr>
                      </w:pPr>
                      <w:r>
                        <w:rPr>
                          <w:rFonts w:hint="eastAsia" w:ascii="仿宋_GB2312"/>
                          <w:sz w:val="24"/>
                          <w:szCs w:val="24"/>
                          <w:lang w:eastAsia="zh-CN"/>
                        </w:rPr>
                        <w:t>国家局药审</w:t>
                      </w:r>
                    </w:p>
                    <w:p>
                      <w:pPr>
                        <w:adjustRightInd w:val="0"/>
                        <w:snapToGrid w:val="0"/>
                        <w:spacing w:line="240" w:lineRule="auto"/>
                        <w:ind w:firstLine="0" w:firstLineChars="0"/>
                        <w:jc w:val="center"/>
                        <w:rPr>
                          <w:rFonts w:ascii="仿宋_GB2312"/>
                          <w:sz w:val="24"/>
                          <w:szCs w:val="24"/>
                          <w:lang w:eastAsia="zh-CN"/>
                        </w:rPr>
                      </w:pPr>
                      <w:r>
                        <w:rPr>
                          <w:rFonts w:hint="eastAsia" w:ascii="仿宋_GB2312"/>
                          <w:sz w:val="24"/>
                          <w:szCs w:val="24"/>
                          <w:lang w:eastAsia="zh-CN"/>
                        </w:rPr>
                        <w:t>中心技术审评</w:t>
                      </w:r>
                    </w:p>
                  </w:txbxContent>
                </v:textbox>
              </v:shape>
            </w:pict>
          </mc:Fallback>
        </mc:AlternateContent>
      </w:r>
      <w:r>
        <w:rPr>
          <w:color w:val="auto"/>
          <w:lang w:eastAsia="zh-CN"/>
        </w:rPr>
        <mc:AlternateContent>
          <mc:Choice Requires="wps">
            <w:drawing>
              <wp:anchor distT="0" distB="0" distL="113665" distR="113665" simplePos="0" relativeHeight="251672576" behindDoc="0" locked="0" layoutInCell="1" allowOverlap="1">
                <wp:simplePos x="0" y="0"/>
                <wp:positionH relativeFrom="column">
                  <wp:posOffset>-1428750</wp:posOffset>
                </wp:positionH>
                <wp:positionV relativeFrom="paragraph">
                  <wp:posOffset>60960</wp:posOffset>
                </wp:positionV>
                <wp:extent cx="0" cy="533400"/>
                <wp:effectExtent l="76835" t="15875" r="85090" b="22225"/>
                <wp:wrapNone/>
                <wp:docPr id="26" name="直接箭头连接符 6"/>
                <wp:cNvGraphicFramePr/>
                <a:graphic xmlns:a="http://schemas.openxmlformats.org/drawingml/2006/main">
                  <a:graphicData uri="http://schemas.microsoft.com/office/word/2010/wordprocessingShape">
                    <wps:wsp>
                      <wps:cNvCnPr>
                        <a:cxnSpLocks noChangeShapeType="1"/>
                      </wps:cNvCnPr>
                      <wps:spPr bwMode="auto">
                        <a:xfrm flipH="1">
                          <a:off x="0" y="0"/>
                          <a:ext cx="0" cy="533400"/>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6" o:spid="_x0000_s1026" o:spt="32" type="#_x0000_t32" style="position:absolute;left:0pt;flip:x;margin-left:-112.5pt;margin-top:4.8pt;height:42pt;width:0pt;z-index:251672576;mso-width-relative:page;mso-height-relative:page;" filled="f" stroked="t" coordsize="21600,21600" o:gfxdata="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KSQfdYAAAAKAQAADwAAAAAAAAABACAAAAAiAAAAZHJzL2Rvd25yZXYueG1sUEsB&#10;AhQAFAAAAAgAh07iQBNa1zX3AQAApgMAAA4AAAAAAAAAAQAgAAAAJQEAAGRycy9lMm9Eb2MueG1s&#10;UEsFBgAAAAAGAAYAWQEAAI4FAAAAAA==&#10;">
                <v:fill on="f" focussize="0,0"/>
                <v:stroke weight="1.5pt" color="#000000" joinstyle="round" endarrow="open"/>
                <v:imagedata o:title=""/>
                <o:lock v:ext="edit" aspectratio="f"/>
              </v:shape>
            </w:pict>
          </mc:Fallback>
        </mc:AlternateContent>
      </w:r>
    </w:p>
    <w:p>
      <w:pPr>
        <w:widowControl w:val="0"/>
        <w:overflowPunct w:val="0"/>
        <w:spacing w:line="560" w:lineRule="exact"/>
        <w:ind w:firstLine="593"/>
        <w:rPr>
          <w:color w:val="auto"/>
          <w:lang w:eastAsia="zh-CN"/>
        </w:rPr>
      </w:pPr>
    </w:p>
    <w:p>
      <w:pPr>
        <w:widowControl w:val="0"/>
        <w:overflowPunct w:val="0"/>
        <w:spacing w:line="560" w:lineRule="exact"/>
        <w:ind w:firstLine="0" w:firstLineChars="0"/>
        <w:rPr>
          <w:color w:val="auto"/>
          <w:lang w:eastAsia="zh-CN"/>
        </w:rPr>
      </w:pPr>
    </w:p>
    <w:p>
      <w:pPr>
        <w:widowControl w:val="0"/>
        <w:overflowPunct w:val="0"/>
        <w:spacing w:line="560" w:lineRule="exact"/>
        <w:ind w:firstLine="593"/>
        <w:outlineLvl w:val="2"/>
        <w:rPr>
          <w:rFonts w:eastAsia="黑体"/>
          <w:color w:val="auto"/>
          <w:lang w:eastAsia="zh-CN"/>
        </w:rPr>
      </w:pPr>
      <w:bookmarkStart w:id="21" w:name="_Toc33798942"/>
      <w:r>
        <w:rPr>
          <w:rFonts w:eastAsia="黑体"/>
          <w:color w:val="auto"/>
          <w:lang w:eastAsia="zh-CN"/>
        </w:rPr>
        <w:t>六、其他</w:t>
      </w:r>
      <w:bookmarkEnd w:id="21"/>
    </w:p>
    <w:p>
      <w:pPr>
        <w:overflowPunct w:val="0"/>
        <w:spacing w:line="560" w:lineRule="exact"/>
        <w:ind w:firstLine="593"/>
        <w:rPr>
          <w:color w:val="auto"/>
          <w:lang w:eastAsia="zh-CN"/>
        </w:rPr>
      </w:pPr>
      <w:r>
        <w:rPr>
          <w:color w:val="auto"/>
          <w:lang w:eastAsia="zh-CN"/>
        </w:rPr>
        <w:t>其他未尽事宜请参照《药品注册管理办法》等现行的法律法规、技术指导原则有关文件执行。</w:t>
      </w:r>
    </w:p>
    <w:p>
      <w:pPr>
        <w:widowControl w:val="0"/>
        <w:overflowPunct w:val="0"/>
        <w:spacing w:line="560" w:lineRule="exact"/>
        <w:ind w:firstLine="593"/>
        <w:outlineLvl w:val="2"/>
        <w:rPr>
          <w:rFonts w:eastAsia="黑体"/>
          <w:color w:val="auto"/>
          <w:lang w:eastAsia="zh-CN"/>
        </w:rPr>
      </w:pPr>
      <w:bookmarkStart w:id="22" w:name="_Toc33798943"/>
      <w:r>
        <w:rPr>
          <w:rFonts w:eastAsia="黑体"/>
          <w:color w:val="auto"/>
          <w:lang w:eastAsia="zh-CN"/>
        </w:rPr>
        <w:t>七、</w:t>
      </w:r>
      <w:bookmarkEnd w:id="22"/>
      <w:r>
        <w:rPr>
          <w:rFonts w:eastAsia="黑体"/>
          <w:color w:val="auto"/>
          <w:lang w:eastAsia="zh-CN"/>
        </w:rPr>
        <w:t>附件</w:t>
      </w:r>
    </w:p>
    <w:p>
      <w:pPr>
        <w:overflowPunct w:val="0"/>
        <w:spacing w:line="560" w:lineRule="exact"/>
        <w:ind w:firstLine="593"/>
        <w:rPr>
          <w:color w:val="auto"/>
          <w:lang w:eastAsia="zh-CN"/>
        </w:rPr>
      </w:pPr>
      <w:r>
        <w:rPr>
          <w:color w:val="auto"/>
          <w:lang w:eastAsia="zh-CN"/>
        </w:rPr>
        <w:t xml:space="preserve">1治疗用生物制品申报资料自查审查表 </w:t>
      </w:r>
    </w:p>
    <w:p>
      <w:pPr>
        <w:overflowPunct w:val="0"/>
        <w:spacing w:line="560" w:lineRule="exact"/>
        <w:ind w:firstLine="593"/>
        <w:rPr>
          <w:color w:val="auto"/>
          <w:lang w:eastAsia="zh-CN"/>
        </w:rPr>
      </w:pPr>
      <w:r>
        <w:rPr>
          <w:color w:val="auto"/>
          <w:lang w:eastAsia="zh-CN"/>
        </w:rPr>
        <w:t>2参考目录</w:t>
      </w:r>
    </w:p>
    <w:p>
      <w:pPr>
        <w:widowControl w:val="0"/>
        <w:overflowPunct w:val="0"/>
        <w:spacing w:line="560" w:lineRule="exact"/>
        <w:ind w:firstLine="0" w:firstLineChars="0"/>
        <w:rPr>
          <w:rFonts w:eastAsia="黑体"/>
          <w:color w:val="auto"/>
          <w:lang w:eastAsia="zh-CN"/>
        </w:rPr>
      </w:pPr>
      <w:r>
        <w:rPr>
          <w:rFonts w:eastAsia="黑体"/>
          <w:color w:val="auto"/>
          <w:lang w:eastAsia="zh-CN"/>
        </w:rPr>
        <w:br w:type="page"/>
      </w:r>
    </w:p>
    <w:p>
      <w:pPr>
        <w:widowControl w:val="0"/>
        <w:overflowPunct w:val="0"/>
        <w:spacing w:line="560" w:lineRule="exact"/>
        <w:ind w:firstLine="0" w:firstLineChars="0"/>
        <w:rPr>
          <w:color w:val="auto"/>
          <w:lang w:eastAsia="zh-CN"/>
        </w:rPr>
      </w:pPr>
      <w:r>
        <w:rPr>
          <w:rFonts w:eastAsia="黑体"/>
          <w:color w:val="auto"/>
          <w:lang w:eastAsia="zh-CN"/>
        </w:rPr>
        <w:t>附1</w:t>
      </w:r>
    </w:p>
    <w:p>
      <w:pPr>
        <w:widowControl w:val="0"/>
        <w:tabs>
          <w:tab w:val="left" w:pos="420"/>
        </w:tabs>
        <w:overflowPunct w:val="0"/>
        <w:adjustRightInd w:val="0"/>
        <w:snapToGrid w:val="0"/>
        <w:spacing w:line="600" w:lineRule="exact"/>
        <w:ind w:firstLine="0" w:firstLineChars="0"/>
        <w:jc w:val="center"/>
        <w:outlineLvl w:val="1"/>
        <w:rPr>
          <w:rFonts w:eastAsia="方正小标宋简体"/>
          <w:color w:val="auto"/>
          <w:kern w:val="0"/>
          <w:sz w:val="44"/>
          <w:szCs w:val="44"/>
          <w:lang w:eastAsia="zh-CN"/>
        </w:rPr>
      </w:pPr>
      <w:bookmarkStart w:id="23" w:name="_Toc33798944"/>
      <w:r>
        <w:rPr>
          <w:rFonts w:eastAsia="方正小标宋简体"/>
          <w:color w:val="auto"/>
          <w:kern w:val="0"/>
          <w:sz w:val="44"/>
          <w:szCs w:val="44"/>
          <w:lang w:eastAsia="zh-CN"/>
        </w:rPr>
        <w:t>治疗用生物制品注册申报资料自查表</w:t>
      </w:r>
      <w:bookmarkEnd w:id="23"/>
    </w:p>
    <w:p>
      <w:pPr>
        <w:widowControl w:val="0"/>
        <w:spacing w:line="600" w:lineRule="exact"/>
        <w:ind w:firstLine="0" w:firstLineChars="0"/>
        <w:jc w:val="center"/>
        <w:rPr>
          <w:color w:val="auto"/>
          <w:sz w:val="44"/>
          <w:szCs w:val="44"/>
          <w:lang w:eastAsia="zh-CN"/>
        </w:rPr>
      </w:pPr>
    </w:p>
    <w:tbl>
      <w:tblPr>
        <w:tblStyle w:val="41"/>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8"/>
        <w:gridCol w:w="2833"/>
        <w:gridCol w:w="573"/>
        <w:gridCol w:w="1461"/>
        <w:gridCol w:w="56"/>
        <w:gridCol w:w="89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8" w:type="dxa"/>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药品名称</w:t>
            </w:r>
          </w:p>
        </w:tc>
        <w:tc>
          <w:tcPr>
            <w:tcW w:w="2833" w:type="dxa"/>
            <w:vAlign w:val="center"/>
          </w:tcPr>
          <w:p>
            <w:pPr>
              <w:widowControl w:val="0"/>
              <w:overflowPunct w:val="0"/>
              <w:spacing w:line="240" w:lineRule="auto"/>
              <w:ind w:firstLine="0" w:firstLineChars="0"/>
              <w:jc w:val="center"/>
              <w:rPr>
                <w:rFonts w:ascii="仿宋_GB2312"/>
                <w:bCs/>
                <w:color w:val="auto"/>
                <w:sz w:val="24"/>
                <w:szCs w:val="24"/>
                <w:lang w:eastAsia="zh-CN"/>
              </w:rPr>
            </w:pPr>
          </w:p>
        </w:tc>
        <w:tc>
          <w:tcPr>
            <w:tcW w:w="2090" w:type="dxa"/>
            <w:gridSpan w:val="3"/>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规格</w:t>
            </w:r>
          </w:p>
        </w:tc>
        <w:tc>
          <w:tcPr>
            <w:tcW w:w="2171" w:type="dxa"/>
            <w:gridSpan w:val="2"/>
            <w:vAlign w:val="center"/>
          </w:tcPr>
          <w:p>
            <w:pPr>
              <w:widowControl w:val="0"/>
              <w:overflowPunct w:val="0"/>
              <w:spacing w:line="240" w:lineRule="auto"/>
              <w:ind w:firstLine="0" w:firstLineChars="0"/>
              <w:jc w:val="center"/>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8" w:type="dxa"/>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申请事项</w:t>
            </w:r>
          </w:p>
        </w:tc>
        <w:tc>
          <w:tcPr>
            <w:tcW w:w="2833" w:type="dxa"/>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□临床试验  □上市许可</w:t>
            </w:r>
          </w:p>
        </w:tc>
        <w:tc>
          <w:tcPr>
            <w:tcW w:w="2090" w:type="dxa"/>
            <w:gridSpan w:val="3"/>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注册分类</w:t>
            </w:r>
          </w:p>
        </w:tc>
        <w:tc>
          <w:tcPr>
            <w:tcW w:w="2171" w:type="dxa"/>
            <w:gridSpan w:val="2"/>
            <w:vAlign w:val="center"/>
          </w:tcPr>
          <w:p>
            <w:pPr>
              <w:widowControl w:val="0"/>
              <w:overflowPunct w:val="0"/>
              <w:spacing w:line="240" w:lineRule="auto"/>
              <w:ind w:firstLine="0" w:firstLineChars="0"/>
              <w:jc w:val="center"/>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8" w:type="dxa"/>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加快上市注册程序</w:t>
            </w:r>
          </w:p>
        </w:tc>
        <w:tc>
          <w:tcPr>
            <w:tcW w:w="7094" w:type="dxa"/>
            <w:gridSpan w:val="6"/>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□附条件批准程序   □优先审评审批程序   □特别审批程序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8" w:type="dxa"/>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申 请 人</w:t>
            </w:r>
          </w:p>
        </w:tc>
        <w:tc>
          <w:tcPr>
            <w:tcW w:w="7094" w:type="dxa"/>
            <w:gridSpan w:val="6"/>
            <w:vAlign w:val="center"/>
          </w:tcPr>
          <w:p>
            <w:pPr>
              <w:widowControl w:val="0"/>
              <w:overflowPunct w:val="0"/>
              <w:spacing w:line="240" w:lineRule="auto"/>
              <w:ind w:firstLine="0" w:firstLineChars="0"/>
              <w:jc w:val="center"/>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8" w:type="dxa"/>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沟通交流编号</w:t>
            </w:r>
          </w:p>
        </w:tc>
        <w:tc>
          <w:tcPr>
            <w:tcW w:w="7094" w:type="dxa"/>
            <w:gridSpan w:val="6"/>
            <w:vAlign w:val="center"/>
          </w:tcPr>
          <w:p>
            <w:pPr>
              <w:widowControl w:val="0"/>
              <w:overflowPunct w:val="0"/>
              <w:spacing w:line="240" w:lineRule="auto"/>
              <w:ind w:firstLine="0" w:firstLineChars="0"/>
              <w:jc w:val="center"/>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072" w:type="dxa"/>
            <w:gridSpan w:val="7"/>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一、基本要求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1.1资料项目及目录是否按CTD要求提交</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1.2《药品生产许可证》有相应生产范围</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□不适用</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1.3申请事项是否符合要求</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1.4是否按要求完成沟通交流并提供申报资料补充完善的情况说明。</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□不适用</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1.5是否逐个封面加盖申请人或注册代理机构印章</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1.6是否按照填表说明要求填写申请表</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1.7申请表填报信息是否与申报资料中内容一致</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1.8申报资料是否符合《申报资料基本要求》</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sz w:val="24"/>
                <w:szCs w:val="24"/>
                <w:lang w:eastAsia="zh-CN"/>
              </w:rPr>
              <w:t>1.9是否已向中检院或省、自治区、直辖市药品监督管理部门提出药品注册检验，并提交送检凭证复印件。</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hAnsi="宋体"/>
                <w:bCs/>
                <w:color w:val="auto"/>
                <w:sz w:val="24"/>
                <w:szCs w:val="24"/>
                <w:lang w:eastAsia="zh-CN"/>
              </w:rPr>
              <w:t>□是</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hAnsi="宋体"/>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1.10申请人提出药品上市许可申请时，是否声明完成了支持药品上市注册的药学、药理毒理学和药物临床试验等研究，确定质量标准，完成商业规模生产工艺验证，并做好接受药品注册核查检验的准备。</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384" w:type="dxa"/>
            <w:gridSpan w:val="3"/>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1.11国家局其他相关规定不予受理的情形</w:t>
            </w:r>
          </w:p>
        </w:tc>
        <w:tc>
          <w:tcPr>
            <w:tcW w:w="1517" w:type="dxa"/>
            <w:gridSpan w:val="2"/>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□是</w:t>
            </w:r>
          </w:p>
        </w:tc>
        <w:tc>
          <w:tcPr>
            <w:tcW w:w="896" w:type="dxa"/>
            <w:vAlign w:val="center"/>
          </w:tcPr>
          <w:p>
            <w:pPr>
              <w:widowControl w:val="0"/>
              <w:overflowPunct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□否</w:t>
            </w:r>
          </w:p>
        </w:tc>
        <w:tc>
          <w:tcPr>
            <w:tcW w:w="1275" w:type="dxa"/>
            <w:vAlign w:val="center"/>
          </w:tcPr>
          <w:p>
            <w:pPr>
              <w:widowControl w:val="0"/>
              <w:overflowPunct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72" w:type="dxa"/>
            <w:gridSpan w:val="7"/>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二、申报资料审查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9072" w:type="dxa"/>
            <w:gridSpan w:val="7"/>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模块二、概要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2.1 通用技术文档目录（模块2</w:t>
            </w:r>
            <w:r>
              <w:rPr>
                <w:rFonts w:hint="eastAsia" w:ascii="仿宋_GB2312"/>
                <w:color w:val="auto"/>
                <w:sz w:val="24"/>
                <w:szCs w:val="24"/>
                <w:lang w:eastAsia="zh-CN"/>
              </w:rPr>
              <w:t>～</w:t>
            </w:r>
            <w:r>
              <w:rPr>
                <w:rFonts w:hint="eastAsia" w:ascii="仿宋_GB2312"/>
                <w:bCs/>
                <w:color w:val="auto"/>
                <w:sz w:val="24"/>
                <w:szCs w:val="24"/>
                <w:lang w:eastAsia="zh-CN"/>
              </w:rPr>
              <w:t>模块5）</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tc>
        <w:tc>
          <w:tcPr>
            <w:tcW w:w="952" w:type="dxa"/>
            <w:gridSpan w:val="2"/>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2.2 通用技术文档介绍</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2.3 药学研究信息汇总</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2.4 非临床概述</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2.5 临床概述</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2.6 非临床文字总结和汇总表</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2.7 临床研究总结</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9072" w:type="dxa"/>
            <w:gridSpan w:val="7"/>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模块三、药学研究资料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3.1 模块3目录</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 主体数据</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对于复方制品或多组分产品，每个组分可分别提供一个完整的原液和/或制剂章节。</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对于细胞和基因治疗产品，可根据产品特点，在原液和/或制剂相应项下提供药学研究资料，对于不适用的项目，注明“不适用”。</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3.2.S原料药</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3.2.S.1基本信息</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1"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3.2.S.2生产</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对于抗体药物偶联物或修饰类制品，小分子药物药学研究资料可按照CTD格式和内容的要求单独提交整套研究资料，或在“物料控制”中提交所有的药学研究资料。</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3.2.S.3特性鉴定</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3.2.S.4质量控制</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jc w:val="left"/>
              <w:rPr>
                <w:rFonts w:ascii="仿宋_GB2312"/>
                <w:color w:val="auto"/>
                <w:sz w:val="24"/>
                <w:szCs w:val="24"/>
                <w:lang w:eastAsia="zh-CN"/>
              </w:rPr>
            </w:pPr>
            <w:r>
              <w:rPr>
                <w:rFonts w:hint="eastAsia" w:ascii="仿宋_GB2312"/>
                <w:bCs/>
                <w:color w:val="auto"/>
                <w:sz w:val="24"/>
                <w:szCs w:val="24"/>
                <w:lang w:eastAsia="zh-CN"/>
              </w:rPr>
              <w:t>3.2.S.5对照</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jc w:val="left"/>
              <w:rPr>
                <w:rFonts w:ascii="仿宋_GB2312"/>
                <w:color w:val="auto"/>
                <w:sz w:val="24"/>
                <w:szCs w:val="24"/>
                <w:lang w:eastAsia="zh-CN"/>
              </w:rPr>
            </w:pPr>
            <w:r>
              <w:rPr>
                <w:rFonts w:hint="eastAsia" w:ascii="仿宋_GB2312"/>
                <w:bCs/>
                <w:color w:val="auto"/>
                <w:sz w:val="24"/>
                <w:szCs w:val="24"/>
                <w:lang w:eastAsia="zh-CN"/>
              </w:rPr>
              <w:t>3.2.S.6包装系统</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6" w:hRule="atLeast"/>
        </w:trPr>
        <w:tc>
          <w:tcPr>
            <w:tcW w:w="5384" w:type="dxa"/>
            <w:gridSpan w:val="3"/>
            <w:vAlign w:val="center"/>
          </w:tcPr>
          <w:p>
            <w:pPr>
              <w:widowControl w:val="0"/>
              <w:spacing w:line="240" w:lineRule="auto"/>
              <w:ind w:firstLine="30" w:firstLineChars="14"/>
              <w:jc w:val="left"/>
              <w:rPr>
                <w:rFonts w:ascii="仿宋_GB2312"/>
                <w:bCs/>
                <w:color w:val="auto"/>
                <w:sz w:val="24"/>
                <w:szCs w:val="24"/>
                <w:lang w:eastAsia="zh-CN"/>
              </w:rPr>
            </w:pPr>
            <w:r>
              <w:rPr>
                <w:rFonts w:hint="eastAsia" w:ascii="仿宋_GB2312"/>
                <w:bCs/>
                <w:color w:val="auto"/>
                <w:sz w:val="24"/>
                <w:szCs w:val="24"/>
                <w:lang w:eastAsia="zh-CN"/>
              </w:rPr>
              <w:t>3.2.S.7稳定性</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jc w:val="left"/>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jc w:val="left"/>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3.2.P制剂</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3.2.P.1剂型及产品组成</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3.2.P.2产品开发</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3.2.P.3生产</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0" w:firstLineChars="0"/>
              <w:rPr>
                <w:rFonts w:ascii="仿宋_GB2312"/>
                <w:color w:val="auto"/>
                <w:sz w:val="24"/>
                <w:szCs w:val="24"/>
                <w:lang w:eastAsia="zh-CN"/>
              </w:rPr>
            </w:pPr>
            <w:r>
              <w:rPr>
                <w:rFonts w:hint="eastAsia" w:ascii="仿宋_GB2312"/>
                <w:bCs/>
                <w:color w:val="auto"/>
                <w:sz w:val="24"/>
                <w:szCs w:val="24"/>
                <w:lang w:eastAsia="zh-CN"/>
              </w:rPr>
              <w:t>3.2.P.4辅料的控制</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3.2.P.5制剂的质量控制</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3.2.P.6对照品</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3.2.P.7包装系统</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3.2.P.8稳定性</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5384" w:type="dxa"/>
            <w:gridSpan w:val="3"/>
            <w:vAlign w:val="center"/>
          </w:tcPr>
          <w:p>
            <w:pPr>
              <w:widowControl w:val="0"/>
              <w:spacing w:line="240" w:lineRule="auto"/>
              <w:ind w:firstLine="30" w:firstLineChars="0"/>
              <w:rPr>
                <w:rFonts w:ascii="仿宋_GB2312"/>
                <w:bCs/>
                <w:color w:val="auto"/>
                <w:sz w:val="24"/>
                <w:szCs w:val="24"/>
                <w:lang w:eastAsia="zh-CN"/>
              </w:rPr>
            </w:pPr>
            <w:r>
              <w:rPr>
                <w:rFonts w:hint="eastAsia" w:ascii="仿宋_GB2312"/>
                <w:bCs/>
                <w:color w:val="auto"/>
                <w:sz w:val="24"/>
                <w:szCs w:val="24"/>
                <w:lang w:eastAsia="zh-CN"/>
              </w:rPr>
              <w:t>3.2.A 附件</w:t>
            </w:r>
          </w:p>
        </w:tc>
        <w:tc>
          <w:tcPr>
            <w:tcW w:w="1461" w:type="dxa"/>
            <w:vAlign w:val="center"/>
          </w:tcPr>
          <w:p>
            <w:pPr>
              <w:widowControl w:val="0"/>
              <w:spacing w:line="240" w:lineRule="auto"/>
              <w:ind w:firstLine="0" w:firstLineChars="0"/>
              <w:rPr>
                <w:rFonts w:ascii="仿宋_GB2312"/>
                <w:bCs/>
                <w:color w:val="auto"/>
                <w:sz w:val="24"/>
                <w:szCs w:val="24"/>
                <w:lang w:eastAsia="zh-CN"/>
              </w:rPr>
            </w:pPr>
          </w:p>
        </w:tc>
        <w:tc>
          <w:tcPr>
            <w:tcW w:w="952" w:type="dxa"/>
            <w:gridSpan w:val="2"/>
            <w:vAlign w:val="center"/>
          </w:tcPr>
          <w:p>
            <w:pPr>
              <w:widowControl w:val="0"/>
              <w:spacing w:line="240" w:lineRule="auto"/>
              <w:ind w:firstLine="0" w:firstLineChars="0"/>
              <w:rPr>
                <w:rFonts w:ascii="仿宋_GB2312"/>
                <w:bCs/>
                <w:color w:val="auto"/>
                <w:sz w:val="24"/>
                <w:szCs w:val="24"/>
                <w:lang w:eastAsia="zh-CN"/>
              </w:rPr>
            </w:pP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tabs>
                <w:tab w:val="left" w:pos="1776"/>
              </w:tabs>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3.2.A.1 设备和装置</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0" w:firstLineChars="0"/>
              <w:rPr>
                <w:rFonts w:ascii="仿宋_GB2312"/>
                <w:color w:val="auto"/>
                <w:sz w:val="24"/>
                <w:szCs w:val="24"/>
                <w:lang w:eastAsia="zh-CN"/>
              </w:rPr>
            </w:pPr>
            <w:r>
              <w:rPr>
                <w:rFonts w:hint="eastAsia" w:ascii="仿宋_GB2312"/>
                <w:bCs/>
                <w:color w:val="auto"/>
                <w:sz w:val="24"/>
                <w:szCs w:val="24"/>
                <w:lang w:eastAsia="zh-CN"/>
              </w:rPr>
              <w:t>3.2.A.2 外源性物质的安全性评估</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3.2.A.3 辅料</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3.2.R 区域性信息</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3.2.R.1工艺验证</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应提供工艺验证方案和报告。</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3.2.R.2 批记录</w:t>
            </w:r>
          </w:p>
          <w:p>
            <w:pPr>
              <w:widowControl w:val="0"/>
              <w:spacing w:line="240" w:lineRule="auto"/>
              <w:ind w:firstLine="30" w:firstLineChars="14"/>
              <w:rPr>
                <w:rFonts w:ascii="仿宋_GB2312"/>
                <w:sz w:val="24"/>
                <w:szCs w:val="24"/>
                <w:lang w:eastAsia="zh-CN"/>
              </w:rPr>
            </w:pPr>
            <w:r>
              <w:rPr>
                <w:rFonts w:hint="eastAsia" w:ascii="仿宋_GB2312"/>
                <w:sz w:val="24"/>
                <w:szCs w:val="24"/>
                <w:lang w:eastAsia="zh-CN"/>
              </w:rPr>
              <w:t>临床试验申请时，提供代表临床试验用样品工艺的批生产、检验记录；上市申请时提供关键临床批和至少连续三批拟上市规模验证批的批生产、检验记录。</w:t>
            </w:r>
          </w:p>
          <w:p>
            <w:pPr>
              <w:widowControl w:val="0"/>
              <w:spacing w:line="240" w:lineRule="auto"/>
              <w:ind w:firstLine="30" w:firstLineChars="14"/>
              <w:rPr>
                <w:rFonts w:ascii="仿宋_GB2312"/>
                <w:bCs/>
                <w:color w:val="auto"/>
                <w:sz w:val="24"/>
                <w:szCs w:val="24"/>
                <w:lang w:eastAsia="zh-CN"/>
              </w:rPr>
            </w:pPr>
            <w:r>
              <w:rPr>
                <w:rFonts w:hint="eastAsia" w:ascii="仿宋_GB2312"/>
                <w:sz w:val="24"/>
                <w:szCs w:val="24"/>
                <w:lang w:eastAsia="zh-CN"/>
              </w:rPr>
              <w:t>提供上述批次的检验报告。</w:t>
            </w:r>
          </w:p>
        </w:tc>
        <w:tc>
          <w:tcPr>
            <w:tcW w:w="1461" w:type="dxa"/>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3.2.R.3分析方法验证报告</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提供分析方法验证报告，包含典型图谱。</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3.2.R.4稳定性图谱</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提供稳定性研究的典型图谱。</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3.2.R.5可比性方案（如适用）</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3.2.R.6其他</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生物类似药提交质量相似性评价资料 。</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9072" w:type="dxa"/>
            <w:gridSpan w:val="7"/>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模块四、非临床试验报告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4.1 目录</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4.2 试验报告</w:t>
            </w:r>
          </w:p>
        </w:tc>
        <w:tc>
          <w:tcPr>
            <w:tcW w:w="1461" w:type="dxa"/>
            <w:vAlign w:val="center"/>
          </w:tcPr>
          <w:p>
            <w:pPr>
              <w:widowControl w:val="0"/>
              <w:spacing w:line="240" w:lineRule="auto"/>
              <w:ind w:firstLine="0" w:firstLineChars="0"/>
              <w:rPr>
                <w:rFonts w:ascii="仿宋_GB2312"/>
                <w:bCs/>
                <w:color w:val="auto"/>
                <w:sz w:val="24"/>
                <w:szCs w:val="24"/>
                <w:lang w:eastAsia="zh-CN"/>
              </w:rPr>
            </w:pPr>
          </w:p>
        </w:tc>
        <w:tc>
          <w:tcPr>
            <w:tcW w:w="952" w:type="dxa"/>
            <w:gridSpan w:val="2"/>
            <w:vAlign w:val="center"/>
          </w:tcPr>
          <w:p>
            <w:pPr>
              <w:widowControl w:val="0"/>
              <w:spacing w:line="240" w:lineRule="auto"/>
              <w:ind w:firstLine="0" w:firstLineChars="0"/>
              <w:rPr>
                <w:rFonts w:ascii="仿宋_GB2312"/>
                <w:bCs/>
                <w:color w:val="auto"/>
                <w:sz w:val="24"/>
                <w:szCs w:val="24"/>
                <w:lang w:eastAsia="zh-CN"/>
              </w:rPr>
            </w:pP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4.2.1 药理学</w:t>
            </w:r>
          </w:p>
          <w:p>
            <w:pPr>
              <w:widowControl w:val="0"/>
              <w:spacing w:line="240" w:lineRule="auto"/>
              <w:ind w:firstLine="0" w:firstLineChars="0"/>
              <w:rPr>
                <w:rFonts w:ascii="仿宋_GB2312"/>
                <w:bCs/>
                <w:color w:val="auto"/>
                <w:sz w:val="24"/>
                <w:szCs w:val="24"/>
                <w:lang w:eastAsia="zh-CN"/>
              </w:rPr>
            </w:pPr>
            <w:r>
              <w:rPr>
                <w:rFonts w:hint="eastAsia" w:ascii="仿宋_GB2312"/>
                <w:color w:val="auto"/>
                <w:sz w:val="24"/>
                <w:szCs w:val="24"/>
                <w:lang w:eastAsia="zh-CN"/>
              </w:rPr>
              <w:t>如未做需说明原因或依据。</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4.2.1.1 主要药效学</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4.2.1.2 次要药效学</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4.2.1.3 安全药理学</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4.2.1.4 药效学药物相互作用</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4.2.2 药代动力学</w:t>
            </w:r>
          </w:p>
          <w:p>
            <w:pPr>
              <w:widowControl w:val="0"/>
              <w:spacing w:line="240" w:lineRule="auto"/>
              <w:ind w:firstLine="0" w:firstLineChars="0"/>
              <w:rPr>
                <w:rFonts w:ascii="仿宋_GB2312"/>
                <w:bCs/>
                <w:color w:val="auto"/>
                <w:sz w:val="24"/>
                <w:szCs w:val="24"/>
                <w:lang w:eastAsia="zh-CN"/>
              </w:rPr>
            </w:pPr>
            <w:r>
              <w:rPr>
                <w:rFonts w:hint="eastAsia" w:ascii="仿宋_GB2312"/>
                <w:color w:val="auto"/>
                <w:sz w:val="24"/>
                <w:szCs w:val="24"/>
                <w:lang w:eastAsia="zh-CN"/>
              </w:rPr>
              <w:t>如未做需说明原因或依据。</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4.2.2.1 分析方法和验证报告（如有单独的报告）</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4.2.2.2 吸收</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4.2.2.3 分布</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4.2.2.4 代谢</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8"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4.2.2.5 排泄</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4.2.2.6 药代动力学学药物相互作用（非临床）</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4.2.2.7 其他药代动力学试验</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4.2.3 毒理学</w:t>
            </w:r>
          </w:p>
          <w:p>
            <w:pPr>
              <w:widowControl w:val="0"/>
              <w:spacing w:line="240" w:lineRule="auto"/>
              <w:ind w:firstLine="0" w:firstLineChars="0"/>
              <w:rPr>
                <w:rFonts w:ascii="仿宋_GB2312"/>
                <w:bCs/>
                <w:color w:val="auto"/>
                <w:sz w:val="24"/>
                <w:szCs w:val="24"/>
                <w:lang w:eastAsia="zh-CN"/>
              </w:rPr>
            </w:pPr>
            <w:r>
              <w:rPr>
                <w:rFonts w:hint="eastAsia" w:ascii="仿宋_GB2312"/>
                <w:color w:val="auto"/>
                <w:sz w:val="24"/>
                <w:szCs w:val="24"/>
                <w:lang w:eastAsia="zh-CN"/>
              </w:rPr>
              <w:t>如未做需说明原因或依据。</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4.2.3.1 单次给药毒性（按照动物种属、给药途径的顺序）</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4.2.3.2 重复给药毒性（按照动物种属、给药途径、给药持续时间的顺序；包括伴随毒代动力学试验）</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4.2.3.3 遗传毒性</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4.2.3.4 致癌性（包括伴随毒代动力学试验）</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4.2.3.5 生殖毒性（包括剂量探索研究和伴随毒代动力学试验）（如果采用了改良的试验设计，则下列副标题应作相应修改。）</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4.2.3.6 局部耐受性</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4.2.3.7 其他毒性研究（如有）</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4.3 参考文献</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trPr>
        <w:tc>
          <w:tcPr>
            <w:tcW w:w="9072" w:type="dxa"/>
            <w:gridSpan w:val="7"/>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模块五、临床研究报告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5.1 模块5的目录表</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5.2 所有临床研究的列表</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临床试验报告主文件及其中包含的图表、附件应符合ICH E3的相关要求。</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5.3 临床研究报告</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临床试验报告封面是否符合要求，盖章是否符合要求。</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临床试验报告的结构和内容应符合ICH E3的要求。</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1.标题页2.概要，3.临床研究报告目录，4.缩略语和术语定义表，5.伦理学，6.研究者和研究管理机构，7.简介，8.研究目标，9.研究计划，10.研究受试者，11.疗效评估，12.安全性评价，13.讨论和总结结论，14.正文引用但未纳入报告的表格、图标和图表等，15.参考文献列表，</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16.附录</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16.1 研究信息</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16.2. 受试者数据列表</w:t>
            </w:r>
          </w:p>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16.3 病例报告表（如适用）</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5.3.1 生物制药研究报告</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5.3.2 采用人体生物材料的药代动力学相关研究报告</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5.3.3 人体药代动力学（PK）研究报告</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5.3.4 人体药效学（PD）研究报告</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5.3.5 有效性和安全性研究报告</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5.3.6 上市后经验报告</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5.3.7 病例报告表和个体患者列表</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384" w:type="dxa"/>
            <w:gridSpan w:val="3"/>
            <w:vAlign w:val="center"/>
          </w:tcPr>
          <w:p>
            <w:pPr>
              <w:widowControl w:val="0"/>
              <w:spacing w:line="240" w:lineRule="auto"/>
              <w:ind w:firstLine="30" w:firstLineChars="14"/>
              <w:rPr>
                <w:rFonts w:ascii="仿宋_GB2312"/>
                <w:bCs/>
                <w:color w:val="auto"/>
                <w:sz w:val="24"/>
                <w:szCs w:val="24"/>
                <w:lang w:eastAsia="zh-CN"/>
              </w:rPr>
            </w:pPr>
            <w:r>
              <w:rPr>
                <w:rFonts w:hint="eastAsia" w:ascii="仿宋_GB2312"/>
                <w:bCs/>
                <w:color w:val="auto"/>
                <w:sz w:val="24"/>
                <w:szCs w:val="24"/>
                <w:lang w:eastAsia="zh-CN"/>
              </w:rPr>
              <w:t>5.4 参考文献</w:t>
            </w:r>
          </w:p>
        </w:tc>
        <w:tc>
          <w:tcPr>
            <w:tcW w:w="1461" w:type="dxa"/>
            <w:vAlign w:val="center"/>
          </w:tcPr>
          <w:p>
            <w:pPr>
              <w:widowControl w:val="0"/>
              <w:spacing w:line="240" w:lineRule="auto"/>
              <w:ind w:firstLine="35" w:firstLineChars="16"/>
              <w:rPr>
                <w:rFonts w:ascii="仿宋_GB2312"/>
                <w:bCs/>
                <w:color w:val="auto"/>
                <w:sz w:val="24"/>
                <w:szCs w:val="24"/>
                <w:lang w:eastAsia="zh-CN"/>
              </w:rPr>
            </w:pPr>
            <w:r>
              <w:rPr>
                <w:rFonts w:hint="eastAsia" w:ascii="仿宋_GB2312"/>
                <w:bCs/>
                <w:color w:val="auto"/>
                <w:sz w:val="24"/>
                <w:szCs w:val="24"/>
                <w:lang w:eastAsia="zh-CN"/>
              </w:rPr>
              <w:t>□有</w:t>
            </w:r>
          </w:p>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□不适用</w:t>
            </w:r>
          </w:p>
        </w:tc>
        <w:tc>
          <w:tcPr>
            <w:tcW w:w="952" w:type="dxa"/>
            <w:gridSpan w:val="2"/>
          </w:tcPr>
          <w:p>
            <w:pPr>
              <w:widowControl w:val="0"/>
              <w:spacing w:line="240" w:lineRule="auto"/>
              <w:ind w:firstLine="0" w:firstLineChars="0"/>
              <w:rPr>
                <w:rFonts w:ascii="仿宋_GB2312"/>
                <w:bCs/>
                <w:color w:val="auto"/>
                <w:sz w:val="24"/>
                <w:szCs w:val="24"/>
                <w:lang w:eastAsia="zh-CN"/>
              </w:rPr>
            </w:pPr>
            <w:r>
              <w:rPr>
                <w:rFonts w:hint="eastAsia" w:ascii="仿宋_GB2312"/>
                <w:bCs/>
                <w:color w:val="auto"/>
                <w:sz w:val="24"/>
                <w:szCs w:val="24"/>
                <w:lang w:eastAsia="zh-CN"/>
              </w:rPr>
              <w:t>□无</w:t>
            </w:r>
          </w:p>
        </w:tc>
        <w:tc>
          <w:tcPr>
            <w:tcW w:w="1275" w:type="dxa"/>
            <w:vAlign w:val="center"/>
          </w:tcPr>
          <w:p>
            <w:pPr>
              <w:widowControl w:val="0"/>
              <w:spacing w:line="240" w:lineRule="auto"/>
              <w:ind w:firstLine="0" w:firstLineChars="0"/>
              <w:rPr>
                <w:rFonts w:ascii="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3" w:hRule="atLeast"/>
        </w:trPr>
        <w:tc>
          <w:tcPr>
            <w:tcW w:w="9072" w:type="dxa"/>
            <w:gridSpan w:val="7"/>
            <w:tcBorders>
              <w:left w:val="single" w:color="000000" w:sz="4" w:space="0"/>
              <w:bottom w:val="single" w:color="000000" w:sz="4" w:space="0"/>
              <w:right w:val="single" w:color="000000" w:sz="4" w:space="0"/>
            </w:tcBorders>
            <w:vAlign w:val="center"/>
          </w:tcPr>
          <w:p>
            <w:pPr>
              <w:widowControl w:val="0"/>
              <w:overflowPunct w:val="0"/>
              <w:spacing w:line="240" w:lineRule="auto"/>
              <w:ind w:firstLine="0" w:firstLineChars="0"/>
              <w:jc w:val="center"/>
              <w:rPr>
                <w:rFonts w:ascii="仿宋_GB2312"/>
                <w:bCs/>
                <w:color w:val="auto"/>
                <w:sz w:val="24"/>
                <w:szCs w:val="24"/>
                <w:lang w:eastAsia="zh-CN"/>
              </w:rPr>
            </w:pPr>
            <w:r>
              <w:rPr>
                <w:rFonts w:hint="eastAsia" w:ascii="仿宋_GB2312"/>
                <w:bCs/>
                <w:color w:val="auto"/>
                <w:sz w:val="24"/>
                <w:szCs w:val="24"/>
                <w:lang w:eastAsia="zh-CN"/>
              </w:rPr>
              <w:t>三、申请材料真实性承诺</w:t>
            </w:r>
          </w:p>
          <w:p>
            <w:pPr>
              <w:widowControl w:val="0"/>
              <w:overflowPunct w:val="0"/>
              <w:spacing w:line="240" w:lineRule="auto"/>
              <w:ind w:firstLine="0" w:firstLineChars="0"/>
              <w:jc w:val="center"/>
              <w:rPr>
                <w:rFonts w:ascii="仿宋_GB2312"/>
                <w:bCs/>
                <w:color w:val="auto"/>
                <w:sz w:val="24"/>
                <w:szCs w:val="24"/>
                <w:lang w:eastAsia="zh-CN"/>
              </w:rPr>
            </w:pPr>
          </w:p>
          <w:p>
            <w:pPr>
              <w:widowControl w:val="0"/>
              <w:overflowPunct w:val="0"/>
              <w:spacing w:line="240" w:lineRule="auto"/>
              <w:ind w:firstLine="0" w:firstLineChars="0"/>
              <w:jc w:val="left"/>
              <w:rPr>
                <w:rFonts w:ascii="仿宋_GB2312"/>
                <w:color w:val="auto"/>
                <w:sz w:val="24"/>
                <w:szCs w:val="24"/>
                <w:lang w:eastAsia="zh-CN"/>
              </w:rPr>
            </w:pPr>
            <w:r>
              <w:rPr>
                <w:rFonts w:hint="eastAsia" w:ascii="仿宋_GB2312"/>
                <w:color w:val="auto"/>
                <w:sz w:val="24"/>
                <w:szCs w:val="24"/>
                <w:lang w:eastAsia="zh-CN"/>
              </w:rPr>
              <w:t>1、本申请遵守国家相关法律、法规和规章的规定。</w:t>
            </w:r>
          </w:p>
          <w:p>
            <w:pPr>
              <w:widowControl w:val="0"/>
              <w:overflowPunct w:val="0"/>
              <w:spacing w:line="240" w:lineRule="auto"/>
              <w:ind w:firstLine="0" w:firstLineChars="0"/>
              <w:jc w:val="left"/>
              <w:rPr>
                <w:rFonts w:ascii="仿宋_GB2312"/>
                <w:color w:val="auto"/>
                <w:sz w:val="24"/>
                <w:szCs w:val="24"/>
                <w:lang w:eastAsia="zh-CN"/>
              </w:rPr>
            </w:pPr>
            <w:r>
              <w:rPr>
                <w:rFonts w:hint="eastAsia" w:ascii="仿宋_GB2312"/>
                <w:color w:val="auto"/>
                <w:sz w:val="24"/>
                <w:szCs w:val="24"/>
                <w:lang w:eastAsia="zh-CN"/>
              </w:rPr>
              <w:t>2、</w:t>
            </w:r>
            <w:r>
              <w:rPr>
                <w:rFonts w:hint="eastAsia" w:ascii="仿宋_GB2312"/>
                <w:sz w:val="24"/>
                <w:szCs w:val="24"/>
                <w:lang w:eastAsia="zh-CN"/>
              </w:rPr>
              <w:t>本自查表及所提交的申报资料均真实、来源合法、译文准确。申请人对研究数据和结论的真实性、可靠性</w:t>
            </w:r>
            <w:bookmarkStart w:id="24" w:name="_GoBack"/>
            <w:bookmarkEnd w:id="24"/>
            <w:r>
              <w:rPr>
                <w:rFonts w:hint="eastAsia" w:ascii="仿宋_GB2312"/>
                <w:sz w:val="24"/>
                <w:szCs w:val="24"/>
                <w:lang w:eastAsia="zh-CN"/>
              </w:rPr>
              <w:t>负责。</w:t>
            </w:r>
          </w:p>
          <w:p>
            <w:pPr>
              <w:widowControl w:val="0"/>
              <w:overflowPunct w:val="0"/>
              <w:spacing w:line="240" w:lineRule="auto"/>
              <w:ind w:firstLine="0" w:firstLineChars="0"/>
              <w:jc w:val="left"/>
              <w:rPr>
                <w:rFonts w:ascii="仿宋_GB2312"/>
                <w:color w:val="auto"/>
                <w:sz w:val="24"/>
                <w:szCs w:val="24"/>
                <w:lang w:eastAsia="zh-CN"/>
              </w:rPr>
            </w:pPr>
            <w:r>
              <w:rPr>
                <w:rFonts w:hint="eastAsia" w:ascii="仿宋_GB2312"/>
                <w:color w:val="auto"/>
                <w:sz w:val="24"/>
                <w:szCs w:val="24"/>
                <w:lang w:eastAsia="zh-CN"/>
              </w:rPr>
              <w:t>3、所提交的申报资料与目录内容完全一致。</w:t>
            </w:r>
          </w:p>
          <w:p>
            <w:pPr>
              <w:widowControl w:val="0"/>
              <w:overflowPunct w:val="0"/>
              <w:spacing w:line="240" w:lineRule="auto"/>
              <w:ind w:firstLine="0" w:firstLineChars="0"/>
              <w:jc w:val="left"/>
              <w:rPr>
                <w:rFonts w:ascii="仿宋_GB2312"/>
                <w:color w:val="auto"/>
                <w:sz w:val="24"/>
                <w:szCs w:val="24"/>
                <w:lang w:eastAsia="zh-CN"/>
              </w:rPr>
            </w:pPr>
            <w:r>
              <w:rPr>
                <w:rFonts w:hint="eastAsia" w:ascii="仿宋_GB2312"/>
                <w:color w:val="auto"/>
                <w:sz w:val="24"/>
                <w:szCs w:val="24"/>
                <w:lang w:eastAsia="zh-CN"/>
              </w:rPr>
              <w:t>4、所提交的复印件与原件内容完全一致。</w:t>
            </w:r>
          </w:p>
          <w:p>
            <w:pPr>
              <w:widowControl w:val="0"/>
              <w:overflowPunct w:val="0"/>
              <w:spacing w:line="240" w:lineRule="auto"/>
              <w:ind w:firstLine="0" w:firstLineChars="0"/>
              <w:jc w:val="left"/>
              <w:rPr>
                <w:rFonts w:ascii="仿宋_GB2312"/>
                <w:color w:val="auto"/>
                <w:sz w:val="24"/>
                <w:szCs w:val="24"/>
                <w:lang w:eastAsia="zh-CN"/>
              </w:rPr>
            </w:pPr>
            <w:r>
              <w:rPr>
                <w:rFonts w:hint="eastAsia" w:ascii="仿宋_GB2312"/>
                <w:color w:val="auto"/>
                <w:sz w:val="24"/>
                <w:szCs w:val="24"/>
                <w:lang w:eastAsia="zh-CN"/>
              </w:rPr>
              <w:t>5、所提交的电子文件与打印文件内容完全一致。</w:t>
            </w:r>
          </w:p>
          <w:p>
            <w:pPr>
              <w:widowControl w:val="0"/>
              <w:overflowPunct w:val="0"/>
              <w:spacing w:line="240" w:lineRule="auto"/>
              <w:ind w:firstLine="0" w:firstLineChars="0"/>
              <w:jc w:val="left"/>
              <w:rPr>
                <w:rFonts w:ascii="仿宋_GB2312"/>
                <w:color w:val="auto"/>
                <w:sz w:val="24"/>
                <w:szCs w:val="24"/>
                <w:lang w:eastAsia="zh-CN"/>
              </w:rPr>
            </w:pPr>
            <w:r>
              <w:rPr>
                <w:rFonts w:hint="eastAsia" w:ascii="仿宋_GB2312"/>
                <w:color w:val="auto"/>
                <w:sz w:val="24"/>
                <w:szCs w:val="24"/>
                <w:lang w:eastAsia="zh-CN"/>
              </w:rPr>
              <w:t>6、保证按要求在国家局药品审评中心网站及时上传相关电子资料。</w:t>
            </w:r>
          </w:p>
          <w:p>
            <w:pPr>
              <w:widowControl w:val="0"/>
              <w:overflowPunct w:val="0"/>
              <w:spacing w:line="240" w:lineRule="auto"/>
              <w:ind w:firstLine="0" w:firstLineChars="0"/>
              <w:jc w:val="left"/>
              <w:rPr>
                <w:rFonts w:ascii="仿宋_GB2312"/>
                <w:color w:val="auto"/>
                <w:sz w:val="24"/>
                <w:szCs w:val="24"/>
                <w:lang w:eastAsia="zh-CN"/>
              </w:rPr>
            </w:pPr>
            <w:r>
              <w:rPr>
                <w:rFonts w:hint="eastAsia" w:ascii="仿宋_GB2312"/>
                <w:color w:val="auto"/>
                <w:sz w:val="24"/>
                <w:szCs w:val="24"/>
                <w:lang w:eastAsia="zh-CN"/>
              </w:rPr>
              <w:t>7、如有虚假，申请人本单位愿意承担相应法律责任。</w:t>
            </w:r>
          </w:p>
          <w:p>
            <w:pPr>
              <w:widowControl w:val="0"/>
              <w:overflowPunct w:val="0"/>
              <w:spacing w:line="240" w:lineRule="auto"/>
              <w:ind w:firstLine="0" w:firstLineChars="0"/>
              <w:jc w:val="left"/>
              <w:rPr>
                <w:rFonts w:ascii="仿宋_GB2312"/>
                <w:color w:val="auto"/>
                <w:sz w:val="24"/>
                <w:szCs w:val="24"/>
                <w:lang w:eastAsia="zh-CN"/>
              </w:rPr>
            </w:pPr>
          </w:p>
          <w:p>
            <w:pPr>
              <w:widowControl w:val="0"/>
              <w:overflowPunct w:val="0"/>
              <w:spacing w:line="240" w:lineRule="auto"/>
              <w:ind w:firstLine="0" w:firstLineChars="0"/>
              <w:jc w:val="left"/>
              <w:rPr>
                <w:rFonts w:ascii="仿宋_GB2312"/>
                <w:bCs/>
                <w:color w:val="auto"/>
                <w:sz w:val="24"/>
                <w:szCs w:val="24"/>
                <w:lang w:eastAsia="zh-CN"/>
              </w:rPr>
            </w:pPr>
          </w:p>
          <w:p>
            <w:pPr>
              <w:widowControl w:val="0"/>
              <w:overflowPunct w:val="0"/>
              <w:spacing w:line="240" w:lineRule="auto"/>
              <w:ind w:firstLine="0" w:firstLineChars="0"/>
              <w:jc w:val="right"/>
              <w:rPr>
                <w:rFonts w:ascii="仿宋_GB2312"/>
                <w:bCs/>
                <w:color w:val="auto"/>
                <w:sz w:val="24"/>
                <w:szCs w:val="24"/>
                <w:lang w:eastAsia="zh-CN"/>
              </w:rPr>
            </w:pPr>
          </w:p>
          <w:p>
            <w:pPr>
              <w:overflowPunct w:val="0"/>
              <w:spacing w:line="240" w:lineRule="auto"/>
              <w:ind w:firstLine="0" w:firstLineChars="0"/>
              <w:jc w:val="left"/>
              <w:rPr>
                <w:rFonts w:ascii="仿宋_GB2312"/>
                <w:bCs/>
                <w:sz w:val="24"/>
                <w:szCs w:val="24"/>
                <w:lang w:eastAsia="zh-CN"/>
              </w:rPr>
            </w:pPr>
            <w:r>
              <w:rPr>
                <w:rFonts w:hint="eastAsia" w:ascii="仿宋_GB2312"/>
                <w:bCs/>
                <w:sz w:val="24"/>
                <w:szCs w:val="24"/>
                <w:lang w:eastAsia="zh-CN"/>
              </w:rPr>
              <w:t>负责人（签字）                       申请人（公章）</w:t>
            </w:r>
          </w:p>
          <w:p>
            <w:pPr>
              <w:overflowPunct w:val="0"/>
              <w:spacing w:line="240" w:lineRule="auto"/>
              <w:ind w:firstLine="0" w:firstLineChars="0"/>
              <w:jc w:val="left"/>
              <w:rPr>
                <w:rFonts w:ascii="仿宋_GB2312"/>
                <w:bCs/>
                <w:sz w:val="24"/>
                <w:szCs w:val="24"/>
                <w:lang w:eastAsia="zh-CN"/>
              </w:rPr>
            </w:pPr>
          </w:p>
          <w:p>
            <w:pPr>
              <w:overflowPunct w:val="0"/>
              <w:spacing w:line="240" w:lineRule="auto"/>
              <w:ind w:firstLine="0" w:firstLineChars="0"/>
              <w:jc w:val="left"/>
              <w:rPr>
                <w:rFonts w:ascii="仿宋_GB2312"/>
                <w:bCs/>
                <w:sz w:val="24"/>
                <w:szCs w:val="24"/>
                <w:lang w:eastAsia="zh-CN"/>
              </w:rPr>
            </w:pPr>
          </w:p>
          <w:p>
            <w:pPr>
              <w:widowControl w:val="0"/>
              <w:overflowPunct w:val="0"/>
              <w:spacing w:line="240" w:lineRule="auto"/>
              <w:ind w:firstLine="0" w:firstLineChars="0"/>
              <w:jc w:val="left"/>
              <w:rPr>
                <w:rFonts w:ascii="仿宋_GB2312"/>
                <w:color w:val="auto"/>
                <w:sz w:val="24"/>
                <w:szCs w:val="24"/>
                <w:lang w:eastAsia="zh-CN"/>
              </w:rPr>
            </w:pPr>
            <w:r>
              <w:rPr>
                <w:rFonts w:hint="eastAsia" w:ascii="仿宋_GB2312"/>
                <w:bCs/>
                <w:sz w:val="24"/>
                <w:szCs w:val="24"/>
              </w:rPr>
              <w:t>年   月   日</w:t>
            </w:r>
            <w:r>
              <w:rPr>
                <w:rFonts w:hint="eastAsia" w:ascii="仿宋_GB2312"/>
                <w:bCs/>
                <w:color w:val="auto"/>
                <w:sz w:val="24"/>
                <w:szCs w:val="24"/>
                <w:lang w:eastAsia="zh-CN"/>
              </w:rPr>
              <w:t xml:space="preserve">        </w:t>
            </w:r>
          </w:p>
        </w:tc>
      </w:tr>
    </w:tbl>
    <w:p>
      <w:pPr>
        <w:widowControl w:val="0"/>
        <w:overflowPunct w:val="0"/>
        <w:ind w:firstLine="0" w:firstLineChars="0"/>
        <w:rPr>
          <w:color w:val="auto"/>
          <w:lang w:eastAsia="zh-CN"/>
        </w:rPr>
      </w:pPr>
    </w:p>
    <w:p>
      <w:pPr>
        <w:spacing w:line="240" w:lineRule="auto"/>
        <w:ind w:firstLine="0" w:firstLineChars="0"/>
        <w:jc w:val="left"/>
        <w:rPr>
          <w:color w:val="auto"/>
          <w:lang w:eastAsia="zh-CN"/>
        </w:rPr>
      </w:pPr>
      <w:r>
        <w:rPr>
          <w:color w:val="auto"/>
          <w:lang w:eastAsia="zh-CN"/>
        </w:rPr>
        <w:br w:type="page"/>
      </w:r>
    </w:p>
    <w:p>
      <w:pPr>
        <w:widowControl w:val="0"/>
        <w:overflowPunct w:val="0"/>
        <w:spacing w:line="560" w:lineRule="exact"/>
        <w:ind w:firstLine="0" w:firstLineChars="0"/>
        <w:rPr>
          <w:rFonts w:eastAsia="黑体"/>
          <w:color w:val="auto"/>
          <w:lang w:eastAsia="zh-CN"/>
        </w:rPr>
      </w:pPr>
      <w:r>
        <w:rPr>
          <w:rFonts w:eastAsia="黑体"/>
          <w:color w:val="auto"/>
          <w:lang w:eastAsia="zh-CN"/>
        </w:rPr>
        <w:t>附2</w:t>
      </w:r>
    </w:p>
    <w:p>
      <w:pPr>
        <w:pStyle w:val="3"/>
        <w:widowControl w:val="0"/>
        <w:tabs>
          <w:tab w:val="left" w:pos="420"/>
        </w:tabs>
        <w:overflowPunct w:val="0"/>
        <w:adjustRightInd w:val="0"/>
        <w:snapToGrid w:val="0"/>
        <w:spacing w:line="600" w:lineRule="exact"/>
        <w:ind w:left="0" w:firstLine="0" w:firstLineChars="0"/>
        <w:jc w:val="center"/>
        <w:rPr>
          <w:rFonts w:ascii="Times New Roman" w:eastAsia="方正小标宋简体" w:cs="Times New Roman"/>
          <w:sz w:val="44"/>
          <w:szCs w:val="44"/>
          <w:lang w:eastAsia="zh-CN"/>
        </w:rPr>
      </w:pPr>
      <w:r>
        <w:rPr>
          <w:rFonts w:ascii="Times New Roman" w:eastAsia="方正小标宋简体" w:cs="Times New Roman"/>
          <w:b w:val="0"/>
          <w:sz w:val="44"/>
          <w:szCs w:val="44"/>
          <w:lang w:eastAsia="zh-CN"/>
        </w:rPr>
        <w:t>参考目录</w:t>
      </w:r>
    </w:p>
    <w:p>
      <w:pPr>
        <w:widowControl w:val="0"/>
        <w:overflowPunct w:val="0"/>
        <w:ind w:firstLine="0" w:firstLineChars="0"/>
        <w:rPr>
          <w:color w:val="auto"/>
          <w:lang w:eastAsia="zh-CN"/>
        </w:rPr>
      </w:pPr>
    </w:p>
    <w:p>
      <w:pPr>
        <w:widowControl w:val="0"/>
        <w:overflowPunct w:val="0"/>
        <w:ind w:firstLine="0" w:firstLineChars="0"/>
        <w:rPr>
          <w:color w:val="auto"/>
          <w:lang w:eastAsia="zh-CN"/>
        </w:rPr>
      </w:pPr>
      <w:r>
        <w:rPr>
          <w:color w:val="auto"/>
          <w:lang w:eastAsia="zh-CN"/>
        </w:rPr>
        <w:t>1．《药品注册管理办法》（总局令27号）</w:t>
      </w:r>
    </w:p>
    <w:p>
      <w:pPr>
        <w:widowControl w:val="0"/>
        <w:overflowPunct w:val="0"/>
        <w:ind w:firstLine="0" w:firstLineChars="0"/>
        <w:rPr>
          <w:color w:val="auto"/>
          <w:lang w:eastAsia="zh-CN"/>
        </w:rPr>
      </w:pPr>
      <w:r>
        <w:rPr>
          <w:color w:val="auto"/>
          <w:lang w:eastAsia="zh-CN"/>
        </w:rPr>
        <w:t>2．《生物制品注册分类及申报资料要求》</w:t>
      </w:r>
    </w:p>
    <w:p>
      <w:pPr>
        <w:widowControl w:val="0"/>
        <w:overflowPunct w:val="0"/>
        <w:ind w:firstLine="0" w:firstLineChars="0"/>
        <w:rPr>
          <w:color w:val="auto"/>
          <w:lang w:eastAsia="zh-CN"/>
        </w:rPr>
      </w:pPr>
      <w:r>
        <w:rPr>
          <w:color w:val="auto"/>
          <w:lang w:eastAsia="zh-CN"/>
        </w:rPr>
        <w:t>3．《关于发布&lt;M4：人用药物注册申请通用技术文档（CTD）&gt;模块一文件及CTD中文版的通告》（2019年第17号）</w:t>
      </w:r>
    </w:p>
    <w:p>
      <w:pPr>
        <w:widowControl w:val="0"/>
        <w:overflowPunct w:val="0"/>
        <w:ind w:firstLine="0" w:firstLineChars="0"/>
        <w:rPr>
          <w:color w:val="auto"/>
          <w:lang w:eastAsia="zh-CN"/>
        </w:rPr>
      </w:pPr>
      <w:r>
        <w:rPr>
          <w:color w:val="auto"/>
          <w:lang w:eastAsia="zh-CN"/>
        </w:rPr>
        <w:t>4．《关于药械组合产品注册有关事宜的通告》（2019年第16号）</w:t>
      </w:r>
    </w:p>
    <w:p>
      <w:pPr>
        <w:widowControl w:val="0"/>
        <w:overflowPunct w:val="0"/>
        <w:ind w:firstLine="0" w:firstLineChars="0"/>
        <w:rPr>
          <w:color w:val="auto"/>
          <w:lang w:eastAsia="zh-CN"/>
        </w:rPr>
      </w:pPr>
      <w:r>
        <w:rPr>
          <w:color w:val="auto"/>
          <w:lang w:eastAsia="zh-CN"/>
        </w:rPr>
        <w:t>5．《关于取消36项证明事项的公告》（2019年第34号）</w:t>
      </w:r>
    </w:p>
    <w:p>
      <w:pPr>
        <w:widowControl w:val="0"/>
        <w:overflowPunct w:val="0"/>
        <w:ind w:firstLine="0" w:firstLineChars="0"/>
        <w:rPr>
          <w:color w:val="auto"/>
          <w:lang w:eastAsia="zh-CN"/>
        </w:rPr>
      </w:pPr>
      <w:r>
        <w:rPr>
          <w:color w:val="auto"/>
          <w:lang w:eastAsia="zh-CN"/>
        </w:rPr>
        <w:t>6．《关于取消16项证明事项的公告（第二批）》（2019年第55号）</w:t>
      </w:r>
    </w:p>
    <w:p>
      <w:pPr>
        <w:widowControl w:val="0"/>
        <w:overflowPunct w:val="0"/>
        <w:ind w:firstLine="0" w:firstLineChars="0"/>
        <w:rPr>
          <w:color w:val="auto"/>
          <w:lang w:eastAsia="zh-CN"/>
        </w:rPr>
      </w:pPr>
      <w:r>
        <w:rPr>
          <w:color w:val="auto"/>
          <w:lang w:eastAsia="zh-CN"/>
        </w:rPr>
        <w:t>7．《关于取消68项证明事项的公告（第三批）》(2019年第102号)</w:t>
      </w:r>
      <w:bookmarkEnd w:id="10"/>
    </w:p>
    <w:sectPr>
      <w:footerReference r:id="rId9" w:type="default"/>
      <w:pgSz w:w="11906" w:h="16838"/>
      <w:pgMar w:top="1440" w:right="1800" w:bottom="1440" w:left="1800" w:header="851" w:footer="992" w:gutter="0"/>
      <w:pgNumType w:start="1"/>
      <w:cols w:space="0" w:num="1"/>
      <w:docGrid w:type="linesAndChars" w:linePitch="312" w:charSpace="-47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楷体">
    <w:altName w:val="楷体_GB2312"/>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9" w:usb3="00000000" w:csb0="000001FF" w:csb1="00000000"/>
  </w:font>
  <w:font w:name="华文仿宋">
    <w:altName w:val="仿宋"/>
    <w:panose1 w:val="02010600040101010101"/>
    <w:charset w:val="86"/>
    <w:family w:val="auto"/>
    <w:pitch w:val="default"/>
    <w:sig w:usb0="00000000" w:usb1="00000000" w:usb2="00000010" w:usb3="00000000" w:csb0="000400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center"/>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8</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00CE0"/>
    <w:multiLevelType w:val="multilevel"/>
    <w:tmpl w:val="55600CE0"/>
    <w:lvl w:ilvl="0" w:tentative="0">
      <w:start w:val="1"/>
      <w:numFmt w:val="decimal"/>
      <w:lvlText w:val="%1."/>
      <w:lvlJc w:val="left"/>
      <w:pPr>
        <w:ind w:left="425" w:hanging="425"/>
      </w:pPr>
      <w:rPr>
        <w:rFonts w:cs="Times New Roman"/>
      </w:rPr>
    </w:lvl>
    <w:lvl w:ilvl="1" w:tentative="0">
      <w:start w:val="1"/>
      <w:numFmt w:val="decimal"/>
      <w:pStyle w:val="99"/>
      <w:lvlText w:val="%1.%2."/>
      <w:lvlJc w:val="left"/>
      <w:pPr>
        <w:ind w:left="851" w:hanging="567"/>
      </w:pPr>
      <w:rPr>
        <w:rFonts w:cs="Times New Roman"/>
      </w:rPr>
    </w:lvl>
    <w:lvl w:ilvl="2" w:tentative="0">
      <w:start w:val="1"/>
      <w:numFmt w:val="decimal"/>
      <w:lvlText w:val="%1.%2.%3."/>
      <w:lvlJc w:val="left"/>
      <w:pPr>
        <w:ind w:left="709" w:hanging="709"/>
      </w:pPr>
      <w:rPr>
        <w:rFonts w:hint="eastAsia" w:cs="Times New Roman"/>
        <w:b w:val="0"/>
      </w:rPr>
    </w:lvl>
    <w:lvl w:ilvl="3" w:tentative="0">
      <w:start w:val="1"/>
      <w:numFmt w:val="decimal"/>
      <w:lvlText w:val="%1.%2.%3.%4."/>
      <w:lvlJc w:val="left"/>
      <w:pPr>
        <w:ind w:left="851" w:hanging="851"/>
      </w:pPr>
      <w:rPr>
        <w:rFonts w:cs="Times New Roman"/>
      </w:rPr>
    </w:lvl>
    <w:lvl w:ilvl="4" w:tentative="0">
      <w:start w:val="1"/>
      <w:numFmt w:val="decimal"/>
      <w:lvlText w:val="%1.%2.%3.%4.%5."/>
      <w:lvlJc w:val="left"/>
      <w:pPr>
        <w:ind w:left="992" w:hanging="992"/>
      </w:pPr>
      <w:rPr>
        <w:rFonts w:cs="Times New Roman"/>
      </w:rPr>
    </w:lvl>
    <w:lvl w:ilvl="5" w:tentative="0">
      <w:start w:val="1"/>
      <w:numFmt w:val="decimal"/>
      <w:lvlText w:val="%1.%2.%3.%4.%5.%6."/>
      <w:lvlJc w:val="left"/>
      <w:pPr>
        <w:ind w:left="1134" w:hanging="1134"/>
      </w:pPr>
      <w:rPr>
        <w:rFonts w:cs="Times New Roman"/>
      </w:rPr>
    </w:lvl>
    <w:lvl w:ilvl="6" w:tentative="0">
      <w:start w:val="1"/>
      <w:numFmt w:val="decimal"/>
      <w:lvlText w:val="%1.%2.%3.%4.%5.%6.%7."/>
      <w:lvlJc w:val="left"/>
      <w:pPr>
        <w:ind w:left="1276" w:hanging="1276"/>
      </w:pPr>
      <w:rPr>
        <w:rFonts w:cs="Times New Roman"/>
      </w:rPr>
    </w:lvl>
    <w:lvl w:ilvl="7" w:tentative="0">
      <w:start w:val="1"/>
      <w:numFmt w:val="decimal"/>
      <w:lvlText w:val="%1.%2.%3.%4.%5.%6.%7.%8."/>
      <w:lvlJc w:val="left"/>
      <w:pPr>
        <w:ind w:left="1418" w:hanging="1418"/>
      </w:pPr>
      <w:rPr>
        <w:rFonts w:cs="Times New Roman"/>
      </w:rPr>
    </w:lvl>
    <w:lvl w:ilvl="8" w:tentative="0">
      <w:start w:val="1"/>
      <w:numFmt w:val="decimal"/>
      <w:lvlText w:val="%1.%2.%3.%4.%5.%6.%7.%8.%9."/>
      <w:lvlJc w:val="left"/>
      <w:pPr>
        <w:ind w:left="1559" w:hanging="1559"/>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48"/>
  <w:drawingGridVerticalSpacing w:val="156"/>
  <w:displayHorizontalDrawingGridEvery w:val="2"/>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8D"/>
    <w:rsid w:val="000004B3"/>
    <w:rsid w:val="00002F84"/>
    <w:rsid w:val="00004F15"/>
    <w:rsid w:val="00011E66"/>
    <w:rsid w:val="000154B3"/>
    <w:rsid w:val="00024984"/>
    <w:rsid w:val="000274FF"/>
    <w:rsid w:val="00033319"/>
    <w:rsid w:val="00041BF5"/>
    <w:rsid w:val="0005124C"/>
    <w:rsid w:val="00051D75"/>
    <w:rsid w:val="00052B18"/>
    <w:rsid w:val="00053F6D"/>
    <w:rsid w:val="00054EA7"/>
    <w:rsid w:val="00055EC8"/>
    <w:rsid w:val="000566B2"/>
    <w:rsid w:val="00056ACA"/>
    <w:rsid w:val="00060311"/>
    <w:rsid w:val="000625BB"/>
    <w:rsid w:val="00062FE3"/>
    <w:rsid w:val="00063EDE"/>
    <w:rsid w:val="0007090A"/>
    <w:rsid w:val="00072845"/>
    <w:rsid w:val="00076669"/>
    <w:rsid w:val="000822AF"/>
    <w:rsid w:val="00093F57"/>
    <w:rsid w:val="0009474D"/>
    <w:rsid w:val="00094B7F"/>
    <w:rsid w:val="00096DA0"/>
    <w:rsid w:val="000A2CBD"/>
    <w:rsid w:val="000A4277"/>
    <w:rsid w:val="000A5DFF"/>
    <w:rsid w:val="000B0D6C"/>
    <w:rsid w:val="000B2AA6"/>
    <w:rsid w:val="000B5C40"/>
    <w:rsid w:val="000C0965"/>
    <w:rsid w:val="000C0CF3"/>
    <w:rsid w:val="000C3AE1"/>
    <w:rsid w:val="000C6106"/>
    <w:rsid w:val="000C6492"/>
    <w:rsid w:val="000D2E0E"/>
    <w:rsid w:val="000D4ABA"/>
    <w:rsid w:val="000D5B8A"/>
    <w:rsid w:val="000D6BDF"/>
    <w:rsid w:val="000D76FD"/>
    <w:rsid w:val="000E4048"/>
    <w:rsid w:val="000E58BE"/>
    <w:rsid w:val="000F04E1"/>
    <w:rsid w:val="000F216E"/>
    <w:rsid w:val="000F488F"/>
    <w:rsid w:val="000F4893"/>
    <w:rsid w:val="000F7C73"/>
    <w:rsid w:val="001000D7"/>
    <w:rsid w:val="00101D89"/>
    <w:rsid w:val="00104206"/>
    <w:rsid w:val="001064B9"/>
    <w:rsid w:val="00106B2B"/>
    <w:rsid w:val="00112B18"/>
    <w:rsid w:val="001136E7"/>
    <w:rsid w:val="0011636B"/>
    <w:rsid w:val="00116D65"/>
    <w:rsid w:val="00120C43"/>
    <w:rsid w:val="00121D40"/>
    <w:rsid w:val="001346AD"/>
    <w:rsid w:val="00140339"/>
    <w:rsid w:val="001416AF"/>
    <w:rsid w:val="00142A7F"/>
    <w:rsid w:val="00142D2A"/>
    <w:rsid w:val="001431E1"/>
    <w:rsid w:val="00143E8A"/>
    <w:rsid w:val="00144CEF"/>
    <w:rsid w:val="00151B41"/>
    <w:rsid w:val="00152A20"/>
    <w:rsid w:val="001541B8"/>
    <w:rsid w:val="00156C12"/>
    <w:rsid w:val="00160992"/>
    <w:rsid w:val="001624B2"/>
    <w:rsid w:val="001664E3"/>
    <w:rsid w:val="00171B87"/>
    <w:rsid w:val="00174F90"/>
    <w:rsid w:val="001768CC"/>
    <w:rsid w:val="001769D5"/>
    <w:rsid w:val="00182640"/>
    <w:rsid w:val="001901DD"/>
    <w:rsid w:val="0019037B"/>
    <w:rsid w:val="00193598"/>
    <w:rsid w:val="00194BBC"/>
    <w:rsid w:val="00195844"/>
    <w:rsid w:val="0019674F"/>
    <w:rsid w:val="001A1731"/>
    <w:rsid w:val="001A31AE"/>
    <w:rsid w:val="001A4A7E"/>
    <w:rsid w:val="001B5447"/>
    <w:rsid w:val="001C158B"/>
    <w:rsid w:val="001C2574"/>
    <w:rsid w:val="001C6706"/>
    <w:rsid w:val="001C699B"/>
    <w:rsid w:val="001C6D1D"/>
    <w:rsid w:val="001D0D9E"/>
    <w:rsid w:val="001D10CD"/>
    <w:rsid w:val="001E1B99"/>
    <w:rsid w:val="001E5217"/>
    <w:rsid w:val="001E6AF3"/>
    <w:rsid w:val="001E6E4D"/>
    <w:rsid w:val="001F15E3"/>
    <w:rsid w:val="001F3064"/>
    <w:rsid w:val="0020195D"/>
    <w:rsid w:val="00201EF0"/>
    <w:rsid w:val="0020461C"/>
    <w:rsid w:val="002071B9"/>
    <w:rsid w:val="0020749E"/>
    <w:rsid w:val="002075C7"/>
    <w:rsid w:val="00212014"/>
    <w:rsid w:val="002140E6"/>
    <w:rsid w:val="00214619"/>
    <w:rsid w:val="00222443"/>
    <w:rsid w:val="002226E8"/>
    <w:rsid w:val="00223182"/>
    <w:rsid w:val="0022536A"/>
    <w:rsid w:val="0022663A"/>
    <w:rsid w:val="00227766"/>
    <w:rsid w:val="002328FC"/>
    <w:rsid w:val="00233569"/>
    <w:rsid w:val="00234130"/>
    <w:rsid w:val="00234548"/>
    <w:rsid w:val="00235FFF"/>
    <w:rsid w:val="002379A6"/>
    <w:rsid w:val="00237BFC"/>
    <w:rsid w:val="002425B4"/>
    <w:rsid w:val="00245EB3"/>
    <w:rsid w:val="00252259"/>
    <w:rsid w:val="00254CCD"/>
    <w:rsid w:val="00256081"/>
    <w:rsid w:val="00256976"/>
    <w:rsid w:val="0027096C"/>
    <w:rsid w:val="00271113"/>
    <w:rsid w:val="00271FAE"/>
    <w:rsid w:val="002727B7"/>
    <w:rsid w:val="002728FA"/>
    <w:rsid w:val="0027315A"/>
    <w:rsid w:val="00274752"/>
    <w:rsid w:val="00275A32"/>
    <w:rsid w:val="00276D74"/>
    <w:rsid w:val="00281544"/>
    <w:rsid w:val="00282F97"/>
    <w:rsid w:val="00285FFD"/>
    <w:rsid w:val="0028674E"/>
    <w:rsid w:val="0029061B"/>
    <w:rsid w:val="00295614"/>
    <w:rsid w:val="002A01C7"/>
    <w:rsid w:val="002A0E61"/>
    <w:rsid w:val="002A1315"/>
    <w:rsid w:val="002A5706"/>
    <w:rsid w:val="002A5911"/>
    <w:rsid w:val="002A59A2"/>
    <w:rsid w:val="002B028A"/>
    <w:rsid w:val="002B67AC"/>
    <w:rsid w:val="002C585A"/>
    <w:rsid w:val="002D2D5F"/>
    <w:rsid w:val="002D3449"/>
    <w:rsid w:val="002D4BA3"/>
    <w:rsid w:val="002E378D"/>
    <w:rsid w:val="002E639B"/>
    <w:rsid w:val="002E68D3"/>
    <w:rsid w:val="002E7924"/>
    <w:rsid w:val="002F2F0A"/>
    <w:rsid w:val="002F311A"/>
    <w:rsid w:val="002F632D"/>
    <w:rsid w:val="00302671"/>
    <w:rsid w:val="00304236"/>
    <w:rsid w:val="00312261"/>
    <w:rsid w:val="003129FC"/>
    <w:rsid w:val="00325823"/>
    <w:rsid w:val="00325985"/>
    <w:rsid w:val="003262E1"/>
    <w:rsid w:val="003308E1"/>
    <w:rsid w:val="003323CD"/>
    <w:rsid w:val="0033298D"/>
    <w:rsid w:val="003418C6"/>
    <w:rsid w:val="00351BBF"/>
    <w:rsid w:val="0035424F"/>
    <w:rsid w:val="003637F2"/>
    <w:rsid w:val="00364735"/>
    <w:rsid w:val="003673B4"/>
    <w:rsid w:val="00372141"/>
    <w:rsid w:val="00373647"/>
    <w:rsid w:val="00375D76"/>
    <w:rsid w:val="003761CF"/>
    <w:rsid w:val="00376785"/>
    <w:rsid w:val="00376A0D"/>
    <w:rsid w:val="003777A8"/>
    <w:rsid w:val="003801F4"/>
    <w:rsid w:val="00382C22"/>
    <w:rsid w:val="0038415F"/>
    <w:rsid w:val="0038478E"/>
    <w:rsid w:val="00384D34"/>
    <w:rsid w:val="003929EC"/>
    <w:rsid w:val="0039503F"/>
    <w:rsid w:val="003953CF"/>
    <w:rsid w:val="003A536C"/>
    <w:rsid w:val="003A55D6"/>
    <w:rsid w:val="003A5A73"/>
    <w:rsid w:val="003A6A81"/>
    <w:rsid w:val="003A79E3"/>
    <w:rsid w:val="003B0451"/>
    <w:rsid w:val="003B2084"/>
    <w:rsid w:val="003B7AFE"/>
    <w:rsid w:val="003C0301"/>
    <w:rsid w:val="003C0F37"/>
    <w:rsid w:val="003C45AD"/>
    <w:rsid w:val="003C512A"/>
    <w:rsid w:val="003C5B89"/>
    <w:rsid w:val="003C7B4C"/>
    <w:rsid w:val="003E1E68"/>
    <w:rsid w:val="003F1E8C"/>
    <w:rsid w:val="003F355A"/>
    <w:rsid w:val="003F6F0F"/>
    <w:rsid w:val="004027C7"/>
    <w:rsid w:val="004166B9"/>
    <w:rsid w:val="00417456"/>
    <w:rsid w:val="00417C8C"/>
    <w:rsid w:val="00426F1A"/>
    <w:rsid w:val="00427090"/>
    <w:rsid w:val="0042786D"/>
    <w:rsid w:val="00430D96"/>
    <w:rsid w:val="00440188"/>
    <w:rsid w:val="00441740"/>
    <w:rsid w:val="00442367"/>
    <w:rsid w:val="00443115"/>
    <w:rsid w:val="00445B5A"/>
    <w:rsid w:val="00451D00"/>
    <w:rsid w:val="004639EA"/>
    <w:rsid w:val="0046525C"/>
    <w:rsid w:val="00467FBB"/>
    <w:rsid w:val="004753EF"/>
    <w:rsid w:val="00480D74"/>
    <w:rsid w:val="00482F1D"/>
    <w:rsid w:val="00485A26"/>
    <w:rsid w:val="0048703A"/>
    <w:rsid w:val="00487CCD"/>
    <w:rsid w:val="004906F2"/>
    <w:rsid w:val="00490F19"/>
    <w:rsid w:val="00492BFB"/>
    <w:rsid w:val="00493C3F"/>
    <w:rsid w:val="00495B41"/>
    <w:rsid w:val="0049681E"/>
    <w:rsid w:val="004A1847"/>
    <w:rsid w:val="004A2BAE"/>
    <w:rsid w:val="004A5824"/>
    <w:rsid w:val="004A5C86"/>
    <w:rsid w:val="004B39C8"/>
    <w:rsid w:val="004B4BD9"/>
    <w:rsid w:val="004B527E"/>
    <w:rsid w:val="004B5C6D"/>
    <w:rsid w:val="004C0844"/>
    <w:rsid w:val="004C3F99"/>
    <w:rsid w:val="004C400B"/>
    <w:rsid w:val="004D5DA0"/>
    <w:rsid w:val="004D681E"/>
    <w:rsid w:val="004E4D3C"/>
    <w:rsid w:val="004E716C"/>
    <w:rsid w:val="004F007B"/>
    <w:rsid w:val="004F2A7B"/>
    <w:rsid w:val="004F3B8E"/>
    <w:rsid w:val="004F47FF"/>
    <w:rsid w:val="004F63C1"/>
    <w:rsid w:val="004F6E59"/>
    <w:rsid w:val="00504778"/>
    <w:rsid w:val="005107C3"/>
    <w:rsid w:val="0051490C"/>
    <w:rsid w:val="005169F0"/>
    <w:rsid w:val="00522A81"/>
    <w:rsid w:val="005361AA"/>
    <w:rsid w:val="00536CF2"/>
    <w:rsid w:val="005410F9"/>
    <w:rsid w:val="005426AC"/>
    <w:rsid w:val="005455A0"/>
    <w:rsid w:val="00551A5F"/>
    <w:rsid w:val="00553540"/>
    <w:rsid w:val="00553B8C"/>
    <w:rsid w:val="005550D6"/>
    <w:rsid w:val="005603C4"/>
    <w:rsid w:val="00560DCA"/>
    <w:rsid w:val="0056314C"/>
    <w:rsid w:val="00563841"/>
    <w:rsid w:val="00565E19"/>
    <w:rsid w:val="005803EE"/>
    <w:rsid w:val="00582F05"/>
    <w:rsid w:val="0058372C"/>
    <w:rsid w:val="00586928"/>
    <w:rsid w:val="00586DC0"/>
    <w:rsid w:val="005A207B"/>
    <w:rsid w:val="005A720C"/>
    <w:rsid w:val="005B4934"/>
    <w:rsid w:val="005B523D"/>
    <w:rsid w:val="005B5E2A"/>
    <w:rsid w:val="005B68B5"/>
    <w:rsid w:val="005B69EB"/>
    <w:rsid w:val="005B6D66"/>
    <w:rsid w:val="005C075D"/>
    <w:rsid w:val="005C0B34"/>
    <w:rsid w:val="005C6D89"/>
    <w:rsid w:val="005C7AEC"/>
    <w:rsid w:val="005D00DF"/>
    <w:rsid w:val="005E1943"/>
    <w:rsid w:val="005E2796"/>
    <w:rsid w:val="005E32D0"/>
    <w:rsid w:val="005E4249"/>
    <w:rsid w:val="005F1508"/>
    <w:rsid w:val="005F6CAA"/>
    <w:rsid w:val="00604BA6"/>
    <w:rsid w:val="00604D44"/>
    <w:rsid w:val="00605D6A"/>
    <w:rsid w:val="00607697"/>
    <w:rsid w:val="00614780"/>
    <w:rsid w:val="00621233"/>
    <w:rsid w:val="0062190E"/>
    <w:rsid w:val="0062464C"/>
    <w:rsid w:val="00627C2E"/>
    <w:rsid w:val="00631246"/>
    <w:rsid w:val="006332C2"/>
    <w:rsid w:val="00636488"/>
    <w:rsid w:val="00637443"/>
    <w:rsid w:val="00637E2B"/>
    <w:rsid w:val="00642DCC"/>
    <w:rsid w:val="0064605B"/>
    <w:rsid w:val="00647EED"/>
    <w:rsid w:val="00654119"/>
    <w:rsid w:val="00654F21"/>
    <w:rsid w:val="00660594"/>
    <w:rsid w:val="00661FFD"/>
    <w:rsid w:val="00677681"/>
    <w:rsid w:val="00677F45"/>
    <w:rsid w:val="00682DEC"/>
    <w:rsid w:val="00683174"/>
    <w:rsid w:val="00685A39"/>
    <w:rsid w:val="006868B7"/>
    <w:rsid w:val="006901F1"/>
    <w:rsid w:val="0069285A"/>
    <w:rsid w:val="00692D6E"/>
    <w:rsid w:val="006938DD"/>
    <w:rsid w:val="00695C39"/>
    <w:rsid w:val="0069616E"/>
    <w:rsid w:val="0069655C"/>
    <w:rsid w:val="00697FD5"/>
    <w:rsid w:val="006A469B"/>
    <w:rsid w:val="006A4972"/>
    <w:rsid w:val="006B03AC"/>
    <w:rsid w:val="006B1E82"/>
    <w:rsid w:val="006B4278"/>
    <w:rsid w:val="006C1A5F"/>
    <w:rsid w:val="006C477E"/>
    <w:rsid w:val="006C4A06"/>
    <w:rsid w:val="006C5DC7"/>
    <w:rsid w:val="006D107F"/>
    <w:rsid w:val="006D2851"/>
    <w:rsid w:val="006D2C5F"/>
    <w:rsid w:val="006D53C1"/>
    <w:rsid w:val="006D7D36"/>
    <w:rsid w:val="006E1A01"/>
    <w:rsid w:val="006E5185"/>
    <w:rsid w:val="006E7C63"/>
    <w:rsid w:val="006F0B80"/>
    <w:rsid w:val="00702E17"/>
    <w:rsid w:val="00703885"/>
    <w:rsid w:val="00707C75"/>
    <w:rsid w:val="00710B54"/>
    <w:rsid w:val="00713754"/>
    <w:rsid w:val="00713F45"/>
    <w:rsid w:val="00722DA0"/>
    <w:rsid w:val="00725AE0"/>
    <w:rsid w:val="007305E5"/>
    <w:rsid w:val="00730635"/>
    <w:rsid w:val="007309B6"/>
    <w:rsid w:val="00736C59"/>
    <w:rsid w:val="00740BC2"/>
    <w:rsid w:val="00745A27"/>
    <w:rsid w:val="0074708B"/>
    <w:rsid w:val="00750142"/>
    <w:rsid w:val="00750D5E"/>
    <w:rsid w:val="00752BF0"/>
    <w:rsid w:val="00752FEB"/>
    <w:rsid w:val="00761C78"/>
    <w:rsid w:val="00763E78"/>
    <w:rsid w:val="0076484B"/>
    <w:rsid w:val="00766199"/>
    <w:rsid w:val="007665B4"/>
    <w:rsid w:val="00766A86"/>
    <w:rsid w:val="007718A8"/>
    <w:rsid w:val="007769B3"/>
    <w:rsid w:val="007778A8"/>
    <w:rsid w:val="00777D1A"/>
    <w:rsid w:val="00785003"/>
    <w:rsid w:val="00785FDC"/>
    <w:rsid w:val="0078608C"/>
    <w:rsid w:val="00790F0E"/>
    <w:rsid w:val="00791301"/>
    <w:rsid w:val="00791E9F"/>
    <w:rsid w:val="00797C15"/>
    <w:rsid w:val="007A3C88"/>
    <w:rsid w:val="007A51EA"/>
    <w:rsid w:val="007B0C48"/>
    <w:rsid w:val="007B2851"/>
    <w:rsid w:val="007B2E83"/>
    <w:rsid w:val="007B3313"/>
    <w:rsid w:val="007B70FF"/>
    <w:rsid w:val="007C07CE"/>
    <w:rsid w:val="007C3047"/>
    <w:rsid w:val="007C4491"/>
    <w:rsid w:val="007D46EA"/>
    <w:rsid w:val="007E49A3"/>
    <w:rsid w:val="007E5906"/>
    <w:rsid w:val="007E5FE4"/>
    <w:rsid w:val="007F0124"/>
    <w:rsid w:val="007F154D"/>
    <w:rsid w:val="007F41DA"/>
    <w:rsid w:val="007F435A"/>
    <w:rsid w:val="007F68C5"/>
    <w:rsid w:val="007F7007"/>
    <w:rsid w:val="008065A6"/>
    <w:rsid w:val="0081392F"/>
    <w:rsid w:val="00814777"/>
    <w:rsid w:val="00815B30"/>
    <w:rsid w:val="00823A48"/>
    <w:rsid w:val="00823F01"/>
    <w:rsid w:val="00824937"/>
    <w:rsid w:val="00825100"/>
    <w:rsid w:val="008329D8"/>
    <w:rsid w:val="00832B09"/>
    <w:rsid w:val="008333D6"/>
    <w:rsid w:val="00835F66"/>
    <w:rsid w:val="0084290B"/>
    <w:rsid w:val="00846F5C"/>
    <w:rsid w:val="008506B5"/>
    <w:rsid w:val="008508BF"/>
    <w:rsid w:val="00850BB2"/>
    <w:rsid w:val="00850E77"/>
    <w:rsid w:val="00856A48"/>
    <w:rsid w:val="00857A64"/>
    <w:rsid w:val="00862204"/>
    <w:rsid w:val="0087151A"/>
    <w:rsid w:val="008729BD"/>
    <w:rsid w:val="00873431"/>
    <w:rsid w:val="00873812"/>
    <w:rsid w:val="00876556"/>
    <w:rsid w:val="00877283"/>
    <w:rsid w:val="00880171"/>
    <w:rsid w:val="00881258"/>
    <w:rsid w:val="008814BC"/>
    <w:rsid w:val="00882EA8"/>
    <w:rsid w:val="00882FA8"/>
    <w:rsid w:val="00883AE3"/>
    <w:rsid w:val="00884C77"/>
    <w:rsid w:val="00886EF2"/>
    <w:rsid w:val="008911A6"/>
    <w:rsid w:val="008941E8"/>
    <w:rsid w:val="00895EF8"/>
    <w:rsid w:val="00897CDF"/>
    <w:rsid w:val="008A1A2D"/>
    <w:rsid w:val="008A44C1"/>
    <w:rsid w:val="008A6815"/>
    <w:rsid w:val="008A7D4A"/>
    <w:rsid w:val="008B45F0"/>
    <w:rsid w:val="008C243C"/>
    <w:rsid w:val="008C413B"/>
    <w:rsid w:val="008C5922"/>
    <w:rsid w:val="008E3DD8"/>
    <w:rsid w:val="008E5FF1"/>
    <w:rsid w:val="008F07CF"/>
    <w:rsid w:val="008F1C73"/>
    <w:rsid w:val="00904879"/>
    <w:rsid w:val="00907078"/>
    <w:rsid w:val="00912887"/>
    <w:rsid w:val="00930C41"/>
    <w:rsid w:val="00935DE5"/>
    <w:rsid w:val="009379B6"/>
    <w:rsid w:val="00942E25"/>
    <w:rsid w:val="0094491F"/>
    <w:rsid w:val="00945A84"/>
    <w:rsid w:val="009467E3"/>
    <w:rsid w:val="00950AEC"/>
    <w:rsid w:val="00951DC1"/>
    <w:rsid w:val="0095288F"/>
    <w:rsid w:val="0095505B"/>
    <w:rsid w:val="0095723D"/>
    <w:rsid w:val="00960EC3"/>
    <w:rsid w:val="00960F27"/>
    <w:rsid w:val="00974001"/>
    <w:rsid w:val="0097509F"/>
    <w:rsid w:val="00975611"/>
    <w:rsid w:val="00975C9E"/>
    <w:rsid w:val="009768C5"/>
    <w:rsid w:val="00977420"/>
    <w:rsid w:val="00990C92"/>
    <w:rsid w:val="00990E49"/>
    <w:rsid w:val="00994091"/>
    <w:rsid w:val="00996E5E"/>
    <w:rsid w:val="009971AA"/>
    <w:rsid w:val="009971D1"/>
    <w:rsid w:val="00997975"/>
    <w:rsid w:val="009A3E3D"/>
    <w:rsid w:val="009A6A02"/>
    <w:rsid w:val="009A74B8"/>
    <w:rsid w:val="009B0625"/>
    <w:rsid w:val="009B0CD9"/>
    <w:rsid w:val="009B7006"/>
    <w:rsid w:val="009B77B8"/>
    <w:rsid w:val="009B7B0A"/>
    <w:rsid w:val="009C343C"/>
    <w:rsid w:val="009C5110"/>
    <w:rsid w:val="009D09BE"/>
    <w:rsid w:val="009D1051"/>
    <w:rsid w:val="009D19C7"/>
    <w:rsid w:val="009D2C1C"/>
    <w:rsid w:val="009D32DF"/>
    <w:rsid w:val="009D4AF7"/>
    <w:rsid w:val="009D559B"/>
    <w:rsid w:val="009E4A9C"/>
    <w:rsid w:val="009E614A"/>
    <w:rsid w:val="009F0245"/>
    <w:rsid w:val="009F576C"/>
    <w:rsid w:val="00A0039E"/>
    <w:rsid w:val="00A00F75"/>
    <w:rsid w:val="00A030DB"/>
    <w:rsid w:val="00A06493"/>
    <w:rsid w:val="00A066C5"/>
    <w:rsid w:val="00A0773E"/>
    <w:rsid w:val="00A121CB"/>
    <w:rsid w:val="00A12F79"/>
    <w:rsid w:val="00A1314E"/>
    <w:rsid w:val="00A1359B"/>
    <w:rsid w:val="00A138E1"/>
    <w:rsid w:val="00A14BC4"/>
    <w:rsid w:val="00A27C9B"/>
    <w:rsid w:val="00A30067"/>
    <w:rsid w:val="00A3453E"/>
    <w:rsid w:val="00A36170"/>
    <w:rsid w:val="00A37B6E"/>
    <w:rsid w:val="00A43916"/>
    <w:rsid w:val="00A602A0"/>
    <w:rsid w:val="00A63235"/>
    <w:rsid w:val="00A65411"/>
    <w:rsid w:val="00A73024"/>
    <w:rsid w:val="00A739A1"/>
    <w:rsid w:val="00A740E0"/>
    <w:rsid w:val="00A76270"/>
    <w:rsid w:val="00A81119"/>
    <w:rsid w:val="00A818DC"/>
    <w:rsid w:val="00A83ADD"/>
    <w:rsid w:val="00A879EB"/>
    <w:rsid w:val="00A90959"/>
    <w:rsid w:val="00A94DFA"/>
    <w:rsid w:val="00A95BD5"/>
    <w:rsid w:val="00A96654"/>
    <w:rsid w:val="00A968A4"/>
    <w:rsid w:val="00AA2F31"/>
    <w:rsid w:val="00AA3834"/>
    <w:rsid w:val="00AB64A7"/>
    <w:rsid w:val="00AC114D"/>
    <w:rsid w:val="00AC311B"/>
    <w:rsid w:val="00AC48D5"/>
    <w:rsid w:val="00AC4F57"/>
    <w:rsid w:val="00AC638C"/>
    <w:rsid w:val="00AD2C1C"/>
    <w:rsid w:val="00AD5FA7"/>
    <w:rsid w:val="00AE08EC"/>
    <w:rsid w:val="00AE4988"/>
    <w:rsid w:val="00AE7F21"/>
    <w:rsid w:val="00AF1367"/>
    <w:rsid w:val="00AF350B"/>
    <w:rsid w:val="00AF4BCC"/>
    <w:rsid w:val="00AF50C3"/>
    <w:rsid w:val="00AF6725"/>
    <w:rsid w:val="00B04C46"/>
    <w:rsid w:val="00B063DD"/>
    <w:rsid w:val="00B06661"/>
    <w:rsid w:val="00B07FBD"/>
    <w:rsid w:val="00B17EC5"/>
    <w:rsid w:val="00B224CA"/>
    <w:rsid w:val="00B24EE2"/>
    <w:rsid w:val="00B26901"/>
    <w:rsid w:val="00B32307"/>
    <w:rsid w:val="00B326D2"/>
    <w:rsid w:val="00B32B1B"/>
    <w:rsid w:val="00B34306"/>
    <w:rsid w:val="00B4111A"/>
    <w:rsid w:val="00B41D76"/>
    <w:rsid w:val="00B43D33"/>
    <w:rsid w:val="00B44BD5"/>
    <w:rsid w:val="00B47256"/>
    <w:rsid w:val="00B47D5B"/>
    <w:rsid w:val="00B51521"/>
    <w:rsid w:val="00B52480"/>
    <w:rsid w:val="00B53383"/>
    <w:rsid w:val="00B536A8"/>
    <w:rsid w:val="00B544B9"/>
    <w:rsid w:val="00B57901"/>
    <w:rsid w:val="00B63639"/>
    <w:rsid w:val="00B66095"/>
    <w:rsid w:val="00B66A9C"/>
    <w:rsid w:val="00B66D75"/>
    <w:rsid w:val="00B7678B"/>
    <w:rsid w:val="00B778E2"/>
    <w:rsid w:val="00B824DC"/>
    <w:rsid w:val="00B827EF"/>
    <w:rsid w:val="00B863E1"/>
    <w:rsid w:val="00B86CEC"/>
    <w:rsid w:val="00B92763"/>
    <w:rsid w:val="00B9423C"/>
    <w:rsid w:val="00B94C23"/>
    <w:rsid w:val="00BA514A"/>
    <w:rsid w:val="00BA7CFF"/>
    <w:rsid w:val="00BB2949"/>
    <w:rsid w:val="00BB41B2"/>
    <w:rsid w:val="00BB4774"/>
    <w:rsid w:val="00BC1AF9"/>
    <w:rsid w:val="00BD138A"/>
    <w:rsid w:val="00BD23B1"/>
    <w:rsid w:val="00BD7C70"/>
    <w:rsid w:val="00BE57A0"/>
    <w:rsid w:val="00BE7DA5"/>
    <w:rsid w:val="00BF1826"/>
    <w:rsid w:val="00BF268E"/>
    <w:rsid w:val="00BF27C9"/>
    <w:rsid w:val="00BF4304"/>
    <w:rsid w:val="00BF5ACB"/>
    <w:rsid w:val="00C05D0D"/>
    <w:rsid w:val="00C06FF7"/>
    <w:rsid w:val="00C1087C"/>
    <w:rsid w:val="00C17D1D"/>
    <w:rsid w:val="00C2617F"/>
    <w:rsid w:val="00C26343"/>
    <w:rsid w:val="00C33C9B"/>
    <w:rsid w:val="00C35144"/>
    <w:rsid w:val="00C355D2"/>
    <w:rsid w:val="00C36A78"/>
    <w:rsid w:val="00C36C2F"/>
    <w:rsid w:val="00C37EA8"/>
    <w:rsid w:val="00C40660"/>
    <w:rsid w:val="00C41971"/>
    <w:rsid w:val="00C42429"/>
    <w:rsid w:val="00C4358B"/>
    <w:rsid w:val="00C5604B"/>
    <w:rsid w:val="00C57A06"/>
    <w:rsid w:val="00C61826"/>
    <w:rsid w:val="00C63771"/>
    <w:rsid w:val="00C65FB8"/>
    <w:rsid w:val="00C67222"/>
    <w:rsid w:val="00C7093B"/>
    <w:rsid w:val="00C712ED"/>
    <w:rsid w:val="00C7328F"/>
    <w:rsid w:val="00C73760"/>
    <w:rsid w:val="00C8381C"/>
    <w:rsid w:val="00C90CCA"/>
    <w:rsid w:val="00C933A3"/>
    <w:rsid w:val="00C96A78"/>
    <w:rsid w:val="00CA029F"/>
    <w:rsid w:val="00CA13BA"/>
    <w:rsid w:val="00CA1A0D"/>
    <w:rsid w:val="00CA2476"/>
    <w:rsid w:val="00CA72AD"/>
    <w:rsid w:val="00CB035F"/>
    <w:rsid w:val="00CB133E"/>
    <w:rsid w:val="00CB2800"/>
    <w:rsid w:val="00CB4210"/>
    <w:rsid w:val="00CB78E4"/>
    <w:rsid w:val="00CC0C18"/>
    <w:rsid w:val="00CC10E1"/>
    <w:rsid w:val="00CC18B9"/>
    <w:rsid w:val="00CC3E6D"/>
    <w:rsid w:val="00CD2F81"/>
    <w:rsid w:val="00CD4922"/>
    <w:rsid w:val="00CD60CC"/>
    <w:rsid w:val="00CD6429"/>
    <w:rsid w:val="00CE031B"/>
    <w:rsid w:val="00CE17EC"/>
    <w:rsid w:val="00CE4774"/>
    <w:rsid w:val="00CE4E19"/>
    <w:rsid w:val="00CF39E6"/>
    <w:rsid w:val="00CF6DBF"/>
    <w:rsid w:val="00CF7BE9"/>
    <w:rsid w:val="00D026D8"/>
    <w:rsid w:val="00D02EE4"/>
    <w:rsid w:val="00D04469"/>
    <w:rsid w:val="00D04C1D"/>
    <w:rsid w:val="00D0635B"/>
    <w:rsid w:val="00D065EA"/>
    <w:rsid w:val="00D06EF7"/>
    <w:rsid w:val="00D1155C"/>
    <w:rsid w:val="00D11B8C"/>
    <w:rsid w:val="00D126C5"/>
    <w:rsid w:val="00D1388D"/>
    <w:rsid w:val="00D153AB"/>
    <w:rsid w:val="00D160AD"/>
    <w:rsid w:val="00D16DD2"/>
    <w:rsid w:val="00D21162"/>
    <w:rsid w:val="00D21512"/>
    <w:rsid w:val="00D25F25"/>
    <w:rsid w:val="00D27735"/>
    <w:rsid w:val="00D30617"/>
    <w:rsid w:val="00D30BE9"/>
    <w:rsid w:val="00D33E39"/>
    <w:rsid w:val="00D34F40"/>
    <w:rsid w:val="00D3503A"/>
    <w:rsid w:val="00D36750"/>
    <w:rsid w:val="00D37A68"/>
    <w:rsid w:val="00D43A31"/>
    <w:rsid w:val="00D458CD"/>
    <w:rsid w:val="00D45C81"/>
    <w:rsid w:val="00D46961"/>
    <w:rsid w:val="00D4781A"/>
    <w:rsid w:val="00D50C14"/>
    <w:rsid w:val="00D520A4"/>
    <w:rsid w:val="00D5500F"/>
    <w:rsid w:val="00D576AC"/>
    <w:rsid w:val="00D64625"/>
    <w:rsid w:val="00D679FF"/>
    <w:rsid w:val="00D70D00"/>
    <w:rsid w:val="00D726FA"/>
    <w:rsid w:val="00D7494B"/>
    <w:rsid w:val="00D86748"/>
    <w:rsid w:val="00D8724E"/>
    <w:rsid w:val="00D876B0"/>
    <w:rsid w:val="00D91483"/>
    <w:rsid w:val="00D91A91"/>
    <w:rsid w:val="00D94A97"/>
    <w:rsid w:val="00DA1152"/>
    <w:rsid w:val="00DB11A9"/>
    <w:rsid w:val="00DB473A"/>
    <w:rsid w:val="00DB4A46"/>
    <w:rsid w:val="00DB7E02"/>
    <w:rsid w:val="00DC42AA"/>
    <w:rsid w:val="00DC609B"/>
    <w:rsid w:val="00DD2EAB"/>
    <w:rsid w:val="00DD3C54"/>
    <w:rsid w:val="00DD4990"/>
    <w:rsid w:val="00DD4D28"/>
    <w:rsid w:val="00DD6723"/>
    <w:rsid w:val="00DE057F"/>
    <w:rsid w:val="00DE30C4"/>
    <w:rsid w:val="00DE3BD5"/>
    <w:rsid w:val="00DE3EF5"/>
    <w:rsid w:val="00DE66A4"/>
    <w:rsid w:val="00DE6F59"/>
    <w:rsid w:val="00DF5E00"/>
    <w:rsid w:val="00E07989"/>
    <w:rsid w:val="00E07EC1"/>
    <w:rsid w:val="00E139C1"/>
    <w:rsid w:val="00E14845"/>
    <w:rsid w:val="00E25DAC"/>
    <w:rsid w:val="00E260D4"/>
    <w:rsid w:val="00E26D2F"/>
    <w:rsid w:val="00E327AC"/>
    <w:rsid w:val="00E33431"/>
    <w:rsid w:val="00E33834"/>
    <w:rsid w:val="00E41DB9"/>
    <w:rsid w:val="00E43347"/>
    <w:rsid w:val="00E43F68"/>
    <w:rsid w:val="00E57F95"/>
    <w:rsid w:val="00E61270"/>
    <w:rsid w:val="00E72B9C"/>
    <w:rsid w:val="00E808CB"/>
    <w:rsid w:val="00E8107A"/>
    <w:rsid w:val="00E85FE7"/>
    <w:rsid w:val="00E9007E"/>
    <w:rsid w:val="00E90DBF"/>
    <w:rsid w:val="00E90FB8"/>
    <w:rsid w:val="00E95190"/>
    <w:rsid w:val="00E975FF"/>
    <w:rsid w:val="00EA10D8"/>
    <w:rsid w:val="00EA2F16"/>
    <w:rsid w:val="00EA4529"/>
    <w:rsid w:val="00EA6110"/>
    <w:rsid w:val="00EA6B34"/>
    <w:rsid w:val="00EB0095"/>
    <w:rsid w:val="00EB02A1"/>
    <w:rsid w:val="00ED5670"/>
    <w:rsid w:val="00ED6211"/>
    <w:rsid w:val="00ED7CF0"/>
    <w:rsid w:val="00ED7D75"/>
    <w:rsid w:val="00EE07A0"/>
    <w:rsid w:val="00EE58C9"/>
    <w:rsid w:val="00EE5BB2"/>
    <w:rsid w:val="00EF5658"/>
    <w:rsid w:val="00F15042"/>
    <w:rsid w:val="00F152B5"/>
    <w:rsid w:val="00F15C37"/>
    <w:rsid w:val="00F17170"/>
    <w:rsid w:val="00F206E3"/>
    <w:rsid w:val="00F244EA"/>
    <w:rsid w:val="00F27990"/>
    <w:rsid w:val="00F27A11"/>
    <w:rsid w:val="00F3092C"/>
    <w:rsid w:val="00F33225"/>
    <w:rsid w:val="00F33F75"/>
    <w:rsid w:val="00F3462B"/>
    <w:rsid w:val="00F40505"/>
    <w:rsid w:val="00F42D6C"/>
    <w:rsid w:val="00F4310D"/>
    <w:rsid w:val="00F43B4F"/>
    <w:rsid w:val="00F47B9B"/>
    <w:rsid w:val="00F47E6A"/>
    <w:rsid w:val="00F51FA9"/>
    <w:rsid w:val="00F544B9"/>
    <w:rsid w:val="00F5470E"/>
    <w:rsid w:val="00F5613B"/>
    <w:rsid w:val="00F573CD"/>
    <w:rsid w:val="00F6019F"/>
    <w:rsid w:val="00F60212"/>
    <w:rsid w:val="00F705A8"/>
    <w:rsid w:val="00F82C55"/>
    <w:rsid w:val="00F842F7"/>
    <w:rsid w:val="00F84461"/>
    <w:rsid w:val="00FA2723"/>
    <w:rsid w:val="00FA2B7D"/>
    <w:rsid w:val="00FA4ECD"/>
    <w:rsid w:val="00FA7E24"/>
    <w:rsid w:val="00FB1F70"/>
    <w:rsid w:val="00FB213A"/>
    <w:rsid w:val="00FB4187"/>
    <w:rsid w:val="00FB5E07"/>
    <w:rsid w:val="00FB6313"/>
    <w:rsid w:val="00FC36BB"/>
    <w:rsid w:val="00FC6919"/>
    <w:rsid w:val="00FD139A"/>
    <w:rsid w:val="00FD6959"/>
    <w:rsid w:val="00FE16A0"/>
    <w:rsid w:val="00FE4186"/>
    <w:rsid w:val="00FF1CCC"/>
    <w:rsid w:val="00FF2AF6"/>
    <w:rsid w:val="00FF60BD"/>
    <w:rsid w:val="00FF6F5E"/>
    <w:rsid w:val="00FF7751"/>
    <w:rsid w:val="04A72CEB"/>
    <w:rsid w:val="05875EB4"/>
    <w:rsid w:val="073F14DB"/>
    <w:rsid w:val="0CF31EA3"/>
    <w:rsid w:val="0E5D546A"/>
    <w:rsid w:val="113168DB"/>
    <w:rsid w:val="134041F8"/>
    <w:rsid w:val="148E615E"/>
    <w:rsid w:val="14EB587D"/>
    <w:rsid w:val="196B0350"/>
    <w:rsid w:val="19D44DB3"/>
    <w:rsid w:val="1DC32C4C"/>
    <w:rsid w:val="1E2A27F8"/>
    <w:rsid w:val="1E897D37"/>
    <w:rsid w:val="20865519"/>
    <w:rsid w:val="262934D7"/>
    <w:rsid w:val="295D7A0D"/>
    <w:rsid w:val="2D062043"/>
    <w:rsid w:val="2DEF12E2"/>
    <w:rsid w:val="2EFF6C22"/>
    <w:rsid w:val="2FA92DC5"/>
    <w:rsid w:val="2FC02441"/>
    <w:rsid w:val="33614EC6"/>
    <w:rsid w:val="33E77F2E"/>
    <w:rsid w:val="34473F8B"/>
    <w:rsid w:val="39E44B72"/>
    <w:rsid w:val="3B3C6A5A"/>
    <w:rsid w:val="3C0918CB"/>
    <w:rsid w:val="3EE172A2"/>
    <w:rsid w:val="3F3E12A3"/>
    <w:rsid w:val="3FCE3BD7"/>
    <w:rsid w:val="410853A4"/>
    <w:rsid w:val="44FA7C38"/>
    <w:rsid w:val="45053CFC"/>
    <w:rsid w:val="45D80140"/>
    <w:rsid w:val="4802696F"/>
    <w:rsid w:val="49C05060"/>
    <w:rsid w:val="4AFB205E"/>
    <w:rsid w:val="4FC55C6C"/>
    <w:rsid w:val="50885905"/>
    <w:rsid w:val="52383E7F"/>
    <w:rsid w:val="54CC6123"/>
    <w:rsid w:val="55F84C93"/>
    <w:rsid w:val="574F6C81"/>
    <w:rsid w:val="58190DC0"/>
    <w:rsid w:val="598958AB"/>
    <w:rsid w:val="59A73FC5"/>
    <w:rsid w:val="5A936166"/>
    <w:rsid w:val="5C2E1A03"/>
    <w:rsid w:val="5DBA74B4"/>
    <w:rsid w:val="5E2C7D27"/>
    <w:rsid w:val="605A19E4"/>
    <w:rsid w:val="628A4EB8"/>
    <w:rsid w:val="650B1734"/>
    <w:rsid w:val="69C1516E"/>
    <w:rsid w:val="6A4D4EC5"/>
    <w:rsid w:val="6DE249A2"/>
    <w:rsid w:val="780E21D3"/>
    <w:rsid w:val="7AED32F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qFormat="1" w:unhideWhenUsed="0" w:uiPriority="99" w:semiHidden="0" w:name="List 3"/>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600" w:firstLineChars="200"/>
      <w:jc w:val="both"/>
    </w:pPr>
    <w:rPr>
      <w:rFonts w:ascii="Times New Roman" w:hAnsi="Times New Roman" w:eastAsia="仿宋_GB2312" w:cs="Times New Roman"/>
      <w:color w:val="000000"/>
      <w:kern w:val="2"/>
      <w:sz w:val="32"/>
      <w:szCs w:val="32"/>
      <w:u w:color="000000"/>
      <w:lang w:val="en-US" w:eastAsia="en-US" w:bidi="ar-SA"/>
    </w:rPr>
  </w:style>
  <w:style w:type="paragraph" w:styleId="2">
    <w:name w:val="heading 1"/>
    <w:basedOn w:val="1"/>
    <w:next w:val="1"/>
    <w:link w:val="42"/>
    <w:qFormat/>
    <w:uiPriority w:val="99"/>
    <w:pPr>
      <w:keepNext/>
      <w:keepLines/>
      <w:tabs>
        <w:tab w:val="left" w:pos="432"/>
      </w:tabs>
      <w:spacing w:before="340" w:after="330" w:line="578" w:lineRule="auto"/>
      <w:ind w:left="432" w:hanging="432"/>
      <w:outlineLvl w:val="0"/>
    </w:pPr>
    <w:rPr>
      <w:b/>
      <w:bCs/>
      <w:color w:val="auto"/>
      <w:kern w:val="44"/>
      <w:sz w:val="44"/>
      <w:szCs w:val="44"/>
      <w:lang w:eastAsia="zh-CN"/>
    </w:rPr>
  </w:style>
  <w:style w:type="paragraph" w:styleId="3">
    <w:name w:val="heading 2"/>
    <w:basedOn w:val="4"/>
    <w:next w:val="1"/>
    <w:link w:val="44"/>
    <w:qFormat/>
    <w:uiPriority w:val="99"/>
    <w:pPr>
      <w:ind w:left="420" w:hanging="420"/>
      <w:outlineLvl w:val="1"/>
    </w:pPr>
    <w:rPr>
      <w:rFonts w:hAnsi="Times New Roman" w:eastAsia="宋体"/>
      <w:b/>
      <w:sz w:val="28"/>
      <w:szCs w:val="28"/>
    </w:rPr>
  </w:style>
  <w:style w:type="paragraph" w:styleId="5">
    <w:name w:val="heading 3"/>
    <w:basedOn w:val="1"/>
    <w:next w:val="1"/>
    <w:link w:val="43"/>
    <w:qFormat/>
    <w:uiPriority w:val="99"/>
    <w:pPr>
      <w:keepNext/>
      <w:keepLines/>
      <w:outlineLvl w:val="2"/>
    </w:pPr>
    <w:rPr>
      <w:rFonts w:eastAsia="黑体"/>
      <w:color w:val="auto"/>
      <w:lang w:eastAsia="zh-CN"/>
    </w:rPr>
  </w:style>
  <w:style w:type="paragraph" w:styleId="6">
    <w:name w:val="heading 4"/>
    <w:basedOn w:val="1"/>
    <w:next w:val="1"/>
    <w:link w:val="45"/>
    <w:qFormat/>
    <w:uiPriority w:val="99"/>
    <w:pPr>
      <w:keepNext/>
      <w:keepLines/>
      <w:outlineLvl w:val="3"/>
    </w:pPr>
    <w:rPr>
      <w:rFonts w:eastAsia="楷体_GB2312"/>
      <w:color w:val="auto"/>
      <w:lang w:eastAsia="zh-CN"/>
    </w:rPr>
  </w:style>
  <w:style w:type="paragraph" w:styleId="7">
    <w:name w:val="heading 5"/>
    <w:basedOn w:val="1"/>
    <w:next w:val="1"/>
    <w:link w:val="46"/>
    <w:qFormat/>
    <w:uiPriority w:val="99"/>
    <w:pPr>
      <w:keepNext/>
      <w:keepLines/>
      <w:spacing w:before="280" w:after="290" w:line="374" w:lineRule="auto"/>
      <w:outlineLvl w:val="4"/>
    </w:pPr>
    <w:rPr>
      <w:b/>
      <w:bCs/>
      <w:color w:val="auto"/>
      <w:sz w:val="28"/>
      <w:szCs w:val="28"/>
      <w:lang w:eastAsia="zh-CN"/>
    </w:rPr>
  </w:style>
  <w:style w:type="paragraph" w:styleId="8">
    <w:name w:val="heading 6"/>
    <w:basedOn w:val="1"/>
    <w:next w:val="1"/>
    <w:link w:val="47"/>
    <w:qFormat/>
    <w:uiPriority w:val="99"/>
    <w:pPr>
      <w:keepNext/>
      <w:keepLines/>
      <w:spacing w:before="240" w:after="64" w:line="320" w:lineRule="auto"/>
      <w:outlineLvl w:val="5"/>
    </w:pPr>
    <w:rPr>
      <w:rFonts w:ascii="Arial" w:hAnsi="Arial" w:eastAsia="黑体"/>
      <w:b/>
      <w:bCs/>
      <w:color w:val="auto"/>
      <w:sz w:val="24"/>
      <w:szCs w:val="24"/>
      <w:lang w:eastAsia="zh-CN"/>
    </w:rPr>
  </w:style>
  <w:style w:type="paragraph" w:styleId="9">
    <w:name w:val="heading 7"/>
    <w:basedOn w:val="1"/>
    <w:next w:val="1"/>
    <w:link w:val="48"/>
    <w:qFormat/>
    <w:uiPriority w:val="99"/>
    <w:pPr>
      <w:keepNext/>
      <w:keepLines/>
      <w:spacing w:before="240" w:after="64" w:line="320" w:lineRule="auto"/>
      <w:outlineLvl w:val="6"/>
    </w:pPr>
    <w:rPr>
      <w:b/>
      <w:bCs/>
      <w:color w:val="auto"/>
      <w:sz w:val="24"/>
      <w:szCs w:val="24"/>
      <w:lang w:eastAsia="zh-CN"/>
    </w:rPr>
  </w:style>
  <w:style w:type="paragraph" w:styleId="10">
    <w:name w:val="heading 8"/>
    <w:basedOn w:val="1"/>
    <w:next w:val="1"/>
    <w:link w:val="49"/>
    <w:qFormat/>
    <w:uiPriority w:val="99"/>
    <w:pPr>
      <w:keepNext/>
      <w:keepLines/>
      <w:spacing w:before="240" w:after="64" w:line="320" w:lineRule="auto"/>
      <w:outlineLvl w:val="7"/>
    </w:pPr>
    <w:rPr>
      <w:rFonts w:ascii="Arial" w:hAnsi="Arial" w:eastAsia="黑体"/>
      <w:color w:val="auto"/>
      <w:sz w:val="24"/>
      <w:szCs w:val="24"/>
      <w:lang w:eastAsia="zh-CN"/>
    </w:rPr>
  </w:style>
  <w:style w:type="paragraph" w:styleId="11">
    <w:name w:val="heading 9"/>
    <w:basedOn w:val="1"/>
    <w:next w:val="1"/>
    <w:link w:val="50"/>
    <w:qFormat/>
    <w:uiPriority w:val="99"/>
    <w:pPr>
      <w:keepNext/>
      <w:keepLines/>
      <w:tabs>
        <w:tab w:val="left" w:pos="1584"/>
      </w:tabs>
      <w:spacing w:before="240" w:after="64" w:line="320" w:lineRule="auto"/>
      <w:ind w:left="1584" w:hanging="1584"/>
      <w:outlineLvl w:val="8"/>
    </w:pPr>
    <w:rPr>
      <w:rFonts w:ascii="Arial" w:hAnsi="Arial" w:eastAsia="黑体"/>
      <w:color w:val="auto"/>
      <w:sz w:val="21"/>
      <w:szCs w:val="21"/>
      <w:lang w:eastAsia="zh-CN"/>
    </w:rPr>
  </w:style>
  <w:style w:type="character" w:default="1" w:styleId="34">
    <w:name w:val="Default Paragraph Font"/>
    <w:semiHidden/>
    <w:unhideWhenUsed/>
    <w:qFormat/>
    <w:uiPriority w:val="1"/>
  </w:style>
  <w:style w:type="table" w:default="1" w:styleId="41">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link w:val="51"/>
    <w:qFormat/>
    <w:uiPriority w:val="99"/>
    <w:rPr>
      <w:rFonts w:ascii="宋体" w:hAnsi="Courier New" w:eastAsia="Times New Roman" w:cs="Courier New"/>
      <w:sz w:val="21"/>
      <w:szCs w:val="21"/>
    </w:rPr>
  </w:style>
  <w:style w:type="paragraph" w:styleId="12">
    <w:name w:val="List 3"/>
    <w:basedOn w:val="1"/>
    <w:qFormat/>
    <w:uiPriority w:val="99"/>
    <w:pPr>
      <w:ind w:left="100" w:leftChars="400" w:hanging="200" w:hangingChars="200"/>
    </w:pPr>
    <w:rPr>
      <w:color w:val="auto"/>
      <w:sz w:val="21"/>
      <w:szCs w:val="24"/>
      <w:lang w:eastAsia="zh-CN"/>
    </w:rPr>
  </w:style>
  <w:style w:type="paragraph" w:styleId="13">
    <w:name w:val="annotation subject"/>
    <w:basedOn w:val="14"/>
    <w:next w:val="14"/>
    <w:link w:val="53"/>
    <w:qFormat/>
    <w:uiPriority w:val="99"/>
    <w:rPr>
      <w:b/>
      <w:bCs/>
      <w:kern w:val="0"/>
    </w:rPr>
  </w:style>
  <w:style w:type="paragraph" w:styleId="14">
    <w:name w:val="annotation text"/>
    <w:basedOn w:val="1"/>
    <w:link w:val="52"/>
    <w:qFormat/>
    <w:uiPriority w:val="99"/>
  </w:style>
  <w:style w:type="paragraph" w:styleId="15">
    <w:name w:val="toc 7"/>
    <w:basedOn w:val="1"/>
    <w:next w:val="1"/>
    <w:qFormat/>
    <w:uiPriority w:val="99"/>
    <w:pPr>
      <w:ind w:left="2520" w:leftChars="1200"/>
    </w:pPr>
    <w:rPr>
      <w:rFonts w:ascii="Calibri" w:hAnsi="Calibri"/>
      <w:color w:val="auto"/>
      <w:sz w:val="21"/>
      <w:szCs w:val="22"/>
      <w:lang w:eastAsia="zh-CN"/>
    </w:rPr>
  </w:style>
  <w:style w:type="paragraph" w:styleId="16">
    <w:name w:val="Body Text"/>
    <w:basedOn w:val="1"/>
    <w:link w:val="54"/>
    <w:qFormat/>
    <w:uiPriority w:val="99"/>
    <w:pPr>
      <w:spacing w:after="120"/>
    </w:pPr>
    <w:rPr>
      <w:rFonts w:ascii="Calibri" w:hAnsi="Calibri"/>
      <w:color w:val="auto"/>
      <w:sz w:val="21"/>
      <w:szCs w:val="24"/>
      <w:lang w:eastAsia="zh-CN"/>
    </w:rPr>
  </w:style>
  <w:style w:type="paragraph" w:styleId="17">
    <w:name w:val="Body Text Indent"/>
    <w:basedOn w:val="1"/>
    <w:link w:val="55"/>
    <w:qFormat/>
    <w:uiPriority w:val="99"/>
    <w:pPr>
      <w:snapToGrid w:val="0"/>
      <w:ind w:firstLine="561"/>
    </w:pPr>
    <w:rPr>
      <w:sz w:val="28"/>
      <w:szCs w:val="22"/>
    </w:rPr>
  </w:style>
  <w:style w:type="paragraph" w:styleId="18">
    <w:name w:val="toc 5"/>
    <w:basedOn w:val="1"/>
    <w:next w:val="1"/>
    <w:qFormat/>
    <w:uiPriority w:val="99"/>
    <w:pPr>
      <w:ind w:left="1680" w:leftChars="800"/>
    </w:pPr>
    <w:rPr>
      <w:color w:val="auto"/>
      <w:sz w:val="21"/>
      <w:szCs w:val="24"/>
      <w:lang w:eastAsia="zh-CN"/>
    </w:rPr>
  </w:style>
  <w:style w:type="paragraph" w:styleId="19">
    <w:name w:val="toc 3"/>
    <w:basedOn w:val="1"/>
    <w:next w:val="1"/>
    <w:qFormat/>
    <w:uiPriority w:val="39"/>
    <w:pPr>
      <w:ind w:left="840" w:leftChars="400"/>
    </w:pPr>
    <w:rPr>
      <w:color w:val="auto"/>
      <w:sz w:val="21"/>
      <w:szCs w:val="24"/>
      <w:lang w:eastAsia="zh-CN"/>
    </w:rPr>
  </w:style>
  <w:style w:type="paragraph" w:styleId="20">
    <w:name w:val="toc 8"/>
    <w:basedOn w:val="1"/>
    <w:next w:val="1"/>
    <w:qFormat/>
    <w:uiPriority w:val="99"/>
    <w:pPr>
      <w:ind w:left="2940" w:leftChars="1400"/>
    </w:pPr>
    <w:rPr>
      <w:rFonts w:ascii="Calibri" w:hAnsi="Calibri"/>
      <w:color w:val="auto"/>
      <w:sz w:val="21"/>
      <w:szCs w:val="22"/>
      <w:lang w:eastAsia="zh-CN"/>
    </w:rPr>
  </w:style>
  <w:style w:type="paragraph" w:styleId="21">
    <w:name w:val="Date"/>
    <w:basedOn w:val="1"/>
    <w:next w:val="1"/>
    <w:link w:val="56"/>
    <w:qFormat/>
    <w:uiPriority w:val="99"/>
    <w:pPr>
      <w:ind w:left="100" w:leftChars="2500"/>
    </w:pPr>
    <w:rPr>
      <w:rFonts w:ascii="Calibri" w:hAnsi="Calibri"/>
      <w:color w:val="auto"/>
      <w:sz w:val="21"/>
      <w:szCs w:val="22"/>
      <w:lang w:eastAsia="zh-CN"/>
    </w:rPr>
  </w:style>
  <w:style w:type="paragraph" w:styleId="22">
    <w:name w:val="Body Text Indent 2"/>
    <w:basedOn w:val="1"/>
    <w:link w:val="57"/>
    <w:qFormat/>
    <w:uiPriority w:val="99"/>
    <w:pPr>
      <w:ind w:firstLine="570"/>
    </w:pPr>
    <w:rPr>
      <w:rFonts w:ascii="Calibri" w:hAnsi="Calibri"/>
      <w:color w:val="auto"/>
      <w:sz w:val="28"/>
      <w:szCs w:val="28"/>
      <w:lang w:eastAsia="zh-CN"/>
    </w:rPr>
  </w:style>
  <w:style w:type="paragraph" w:styleId="23">
    <w:name w:val="Balloon Text"/>
    <w:basedOn w:val="1"/>
    <w:link w:val="58"/>
    <w:qFormat/>
    <w:uiPriority w:val="99"/>
    <w:rPr>
      <w:kern w:val="0"/>
      <w:sz w:val="18"/>
      <w:szCs w:val="18"/>
    </w:rPr>
  </w:style>
  <w:style w:type="paragraph" w:styleId="24">
    <w:name w:val="footer"/>
    <w:basedOn w:val="1"/>
    <w:link w:val="59"/>
    <w:qFormat/>
    <w:uiPriority w:val="99"/>
    <w:pPr>
      <w:tabs>
        <w:tab w:val="center" w:pos="4153"/>
        <w:tab w:val="right" w:pos="8306"/>
      </w:tabs>
      <w:snapToGrid w:val="0"/>
    </w:pPr>
    <w:rPr>
      <w:sz w:val="18"/>
      <w:szCs w:val="18"/>
    </w:rPr>
  </w:style>
  <w:style w:type="paragraph" w:styleId="25">
    <w:name w:val="header"/>
    <w:basedOn w:val="1"/>
    <w:link w:val="60"/>
    <w:qFormat/>
    <w:uiPriority w:val="99"/>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rPr>
      <w:color w:val="auto"/>
      <w:sz w:val="21"/>
      <w:szCs w:val="24"/>
      <w:lang w:eastAsia="zh-CN"/>
    </w:rPr>
  </w:style>
  <w:style w:type="paragraph" w:styleId="27">
    <w:name w:val="toc 4"/>
    <w:basedOn w:val="1"/>
    <w:next w:val="1"/>
    <w:qFormat/>
    <w:uiPriority w:val="39"/>
    <w:pPr>
      <w:ind w:left="1260" w:leftChars="600"/>
    </w:pPr>
    <w:rPr>
      <w:color w:val="auto"/>
      <w:sz w:val="21"/>
      <w:szCs w:val="24"/>
      <w:lang w:eastAsia="zh-CN"/>
    </w:rPr>
  </w:style>
  <w:style w:type="paragraph" w:styleId="28">
    <w:name w:val="footnote text"/>
    <w:basedOn w:val="1"/>
    <w:link w:val="61"/>
    <w:qFormat/>
    <w:uiPriority w:val="99"/>
    <w:pPr>
      <w:snapToGrid w:val="0"/>
    </w:pPr>
    <w:rPr>
      <w:rFonts w:ascii="Calibri" w:hAnsi="Calibri"/>
      <w:color w:val="auto"/>
      <w:sz w:val="18"/>
      <w:szCs w:val="18"/>
      <w:lang w:eastAsia="zh-CN"/>
    </w:rPr>
  </w:style>
  <w:style w:type="paragraph" w:styleId="29">
    <w:name w:val="toc 6"/>
    <w:basedOn w:val="1"/>
    <w:next w:val="1"/>
    <w:qFormat/>
    <w:uiPriority w:val="99"/>
    <w:pPr>
      <w:ind w:left="2100" w:leftChars="1000"/>
    </w:pPr>
    <w:rPr>
      <w:rFonts w:ascii="Calibri" w:hAnsi="Calibri"/>
      <w:color w:val="auto"/>
      <w:sz w:val="21"/>
      <w:szCs w:val="22"/>
      <w:lang w:eastAsia="zh-CN"/>
    </w:rPr>
  </w:style>
  <w:style w:type="paragraph" w:styleId="30">
    <w:name w:val="toc 2"/>
    <w:basedOn w:val="1"/>
    <w:next w:val="1"/>
    <w:qFormat/>
    <w:uiPriority w:val="39"/>
    <w:pPr>
      <w:ind w:left="420" w:leftChars="200"/>
      <w:jc w:val="center"/>
    </w:pPr>
    <w:rPr>
      <w:color w:val="auto"/>
      <w:sz w:val="21"/>
      <w:szCs w:val="24"/>
      <w:lang w:eastAsia="zh-CN"/>
    </w:rPr>
  </w:style>
  <w:style w:type="paragraph" w:styleId="31">
    <w:name w:val="toc 9"/>
    <w:basedOn w:val="1"/>
    <w:next w:val="1"/>
    <w:qFormat/>
    <w:uiPriority w:val="99"/>
    <w:pPr>
      <w:ind w:left="3360" w:leftChars="1600"/>
    </w:pPr>
    <w:rPr>
      <w:rFonts w:ascii="Calibri" w:hAnsi="Calibri"/>
      <w:color w:val="auto"/>
      <w:sz w:val="21"/>
      <w:szCs w:val="22"/>
      <w:lang w:eastAsia="zh-CN"/>
    </w:rPr>
  </w:style>
  <w:style w:type="paragraph" w:styleId="32">
    <w:name w:val="Normal (Web)"/>
    <w:basedOn w:val="1"/>
    <w:qFormat/>
    <w:uiPriority w:val="99"/>
    <w:pPr>
      <w:spacing w:before="100" w:beforeAutospacing="1" w:after="100" w:afterAutospacing="1" w:line="408" w:lineRule="auto"/>
    </w:pPr>
    <w:rPr>
      <w:kern w:val="0"/>
      <w:sz w:val="18"/>
      <w:szCs w:val="18"/>
    </w:rPr>
  </w:style>
  <w:style w:type="paragraph" w:styleId="33">
    <w:name w:val="Title"/>
    <w:basedOn w:val="1"/>
    <w:link w:val="62"/>
    <w:qFormat/>
    <w:uiPriority w:val="99"/>
    <w:pPr>
      <w:spacing w:before="240" w:after="60"/>
      <w:jc w:val="center"/>
      <w:outlineLvl w:val="0"/>
    </w:pPr>
    <w:rPr>
      <w:rFonts w:ascii="Arial" w:hAnsi="Arial" w:cs="Arial"/>
      <w:b/>
      <w:bCs/>
      <w:color w:val="auto"/>
      <w:lang w:eastAsia="zh-CN"/>
    </w:rPr>
  </w:style>
  <w:style w:type="character" w:styleId="35">
    <w:name w:val="Strong"/>
    <w:qFormat/>
    <w:uiPriority w:val="99"/>
    <w:rPr>
      <w:rFonts w:cs="Times New Roman"/>
      <w:b/>
      <w:bCs/>
    </w:rPr>
  </w:style>
  <w:style w:type="character" w:styleId="36">
    <w:name w:val="page number"/>
    <w:qFormat/>
    <w:uiPriority w:val="99"/>
    <w:rPr>
      <w:rFonts w:cs="Times New Roman"/>
    </w:rPr>
  </w:style>
  <w:style w:type="character" w:styleId="37">
    <w:name w:val="FollowedHyperlink"/>
    <w:qFormat/>
    <w:uiPriority w:val="99"/>
    <w:rPr>
      <w:rFonts w:cs="Times New Roman"/>
      <w:color w:val="954F72"/>
      <w:u w:val="single"/>
    </w:rPr>
  </w:style>
  <w:style w:type="character" w:styleId="38">
    <w:name w:val="Hyperlink"/>
    <w:qFormat/>
    <w:uiPriority w:val="99"/>
    <w:rPr>
      <w:rFonts w:cs="Times New Roman"/>
      <w:u w:val="single"/>
    </w:rPr>
  </w:style>
  <w:style w:type="character" w:styleId="39">
    <w:name w:val="annotation reference"/>
    <w:qFormat/>
    <w:uiPriority w:val="99"/>
    <w:rPr>
      <w:rFonts w:cs="Times New Roman"/>
      <w:sz w:val="21"/>
    </w:rPr>
  </w:style>
  <w:style w:type="character" w:styleId="40">
    <w:name w:val="footnote reference"/>
    <w:qFormat/>
    <w:uiPriority w:val="99"/>
    <w:rPr>
      <w:rFonts w:cs="Times New Roman"/>
      <w:vertAlign w:val="superscript"/>
    </w:rPr>
  </w:style>
  <w:style w:type="character" w:customStyle="1" w:styleId="42">
    <w:name w:val="标题 1 字符"/>
    <w:link w:val="2"/>
    <w:qFormat/>
    <w:locked/>
    <w:uiPriority w:val="99"/>
    <w:rPr>
      <w:rFonts w:ascii="Times New Roman" w:hAnsi="Times New Roman" w:eastAsia="宋体" w:cs="Times New Roman"/>
      <w:b/>
      <w:bCs/>
      <w:kern w:val="44"/>
      <w:sz w:val="44"/>
      <w:szCs w:val="44"/>
    </w:rPr>
  </w:style>
  <w:style w:type="character" w:customStyle="1" w:styleId="43">
    <w:name w:val="标题 3 字符"/>
    <w:link w:val="5"/>
    <w:qFormat/>
    <w:locked/>
    <w:uiPriority w:val="99"/>
    <w:rPr>
      <w:rFonts w:ascii="Times New Roman" w:hAnsi="Times New Roman" w:eastAsia="黑体" w:cs="Times New Roman"/>
      <w:sz w:val="32"/>
      <w:szCs w:val="32"/>
    </w:rPr>
  </w:style>
  <w:style w:type="character" w:customStyle="1" w:styleId="44">
    <w:name w:val="标题 2 字符"/>
    <w:link w:val="3"/>
    <w:qFormat/>
    <w:locked/>
    <w:uiPriority w:val="99"/>
    <w:rPr>
      <w:rFonts w:ascii="宋体" w:eastAsia="宋体" w:cs="Courier New"/>
      <w:b/>
      <w:color w:val="000000"/>
      <w:sz w:val="28"/>
      <w:szCs w:val="28"/>
      <w:u w:color="000000"/>
      <w:lang w:eastAsia="en-US"/>
    </w:rPr>
  </w:style>
  <w:style w:type="character" w:customStyle="1" w:styleId="45">
    <w:name w:val="标题 4 字符"/>
    <w:link w:val="6"/>
    <w:qFormat/>
    <w:locked/>
    <w:uiPriority w:val="99"/>
    <w:rPr>
      <w:rFonts w:ascii="Times New Roman" w:hAnsi="Times New Roman" w:eastAsia="楷体_GB2312" w:cs="Times New Roman"/>
      <w:sz w:val="32"/>
      <w:szCs w:val="32"/>
    </w:rPr>
  </w:style>
  <w:style w:type="character" w:customStyle="1" w:styleId="46">
    <w:name w:val="标题 5 字符"/>
    <w:link w:val="7"/>
    <w:qFormat/>
    <w:locked/>
    <w:uiPriority w:val="99"/>
    <w:rPr>
      <w:rFonts w:ascii="Times New Roman" w:hAnsi="Times New Roman" w:eastAsia="宋体" w:cs="Times New Roman"/>
      <w:b/>
      <w:bCs/>
      <w:sz w:val="28"/>
      <w:szCs w:val="28"/>
    </w:rPr>
  </w:style>
  <w:style w:type="character" w:customStyle="1" w:styleId="47">
    <w:name w:val="标题 6 字符"/>
    <w:link w:val="8"/>
    <w:qFormat/>
    <w:locked/>
    <w:uiPriority w:val="99"/>
    <w:rPr>
      <w:rFonts w:ascii="Arial" w:hAnsi="Arial" w:eastAsia="黑体" w:cs="Times New Roman"/>
      <w:b/>
      <w:bCs/>
      <w:sz w:val="24"/>
      <w:szCs w:val="24"/>
    </w:rPr>
  </w:style>
  <w:style w:type="character" w:customStyle="1" w:styleId="48">
    <w:name w:val="标题 7 字符"/>
    <w:link w:val="9"/>
    <w:qFormat/>
    <w:locked/>
    <w:uiPriority w:val="99"/>
    <w:rPr>
      <w:rFonts w:ascii="Times New Roman" w:hAnsi="Times New Roman" w:eastAsia="宋体" w:cs="Times New Roman"/>
      <w:b/>
      <w:bCs/>
      <w:sz w:val="24"/>
      <w:szCs w:val="24"/>
    </w:rPr>
  </w:style>
  <w:style w:type="character" w:customStyle="1" w:styleId="49">
    <w:name w:val="标题 8 字符"/>
    <w:link w:val="10"/>
    <w:qFormat/>
    <w:locked/>
    <w:uiPriority w:val="99"/>
    <w:rPr>
      <w:rFonts w:ascii="Arial" w:hAnsi="Arial" w:eastAsia="黑体" w:cs="Times New Roman"/>
      <w:sz w:val="24"/>
      <w:szCs w:val="24"/>
    </w:rPr>
  </w:style>
  <w:style w:type="character" w:customStyle="1" w:styleId="50">
    <w:name w:val="标题 9 字符"/>
    <w:link w:val="11"/>
    <w:qFormat/>
    <w:locked/>
    <w:uiPriority w:val="99"/>
    <w:rPr>
      <w:rFonts w:ascii="Arial" w:hAnsi="Arial" w:eastAsia="黑体" w:cs="Times New Roman"/>
      <w:sz w:val="21"/>
      <w:szCs w:val="21"/>
    </w:rPr>
  </w:style>
  <w:style w:type="character" w:customStyle="1" w:styleId="51">
    <w:name w:val="纯文本 字符"/>
    <w:link w:val="4"/>
    <w:qFormat/>
    <w:locked/>
    <w:uiPriority w:val="99"/>
    <w:rPr>
      <w:rFonts w:ascii="宋体" w:hAnsi="Courier New" w:eastAsia="Times New Roman" w:cs="Courier New"/>
      <w:color w:val="000000"/>
      <w:sz w:val="21"/>
      <w:szCs w:val="21"/>
      <w:u w:color="000000"/>
      <w:lang w:eastAsia="en-US"/>
    </w:rPr>
  </w:style>
  <w:style w:type="character" w:customStyle="1" w:styleId="52">
    <w:name w:val="批注文字 字符"/>
    <w:link w:val="14"/>
    <w:qFormat/>
    <w:locked/>
    <w:uiPriority w:val="99"/>
    <w:rPr>
      <w:rFonts w:ascii="Arial Unicode MS" w:hAnsi="Arial Unicode MS" w:cs="Arial Unicode MS"/>
      <w:color w:val="000000"/>
      <w:sz w:val="20"/>
      <w:szCs w:val="20"/>
      <w:u w:color="000000"/>
      <w:lang w:eastAsia="en-US"/>
    </w:rPr>
  </w:style>
  <w:style w:type="character" w:customStyle="1" w:styleId="53">
    <w:name w:val="批注主题 字符"/>
    <w:link w:val="13"/>
    <w:qFormat/>
    <w:locked/>
    <w:uiPriority w:val="99"/>
    <w:rPr>
      <w:rFonts w:ascii="Arial Unicode MS" w:hAnsi="Arial Unicode MS" w:cs="Arial Unicode MS"/>
      <w:b/>
      <w:color w:val="000000"/>
      <w:sz w:val="20"/>
      <w:szCs w:val="20"/>
      <w:u w:color="000000"/>
      <w:lang w:eastAsia="en-US"/>
    </w:rPr>
  </w:style>
  <w:style w:type="character" w:customStyle="1" w:styleId="54">
    <w:name w:val="正文文本 字符"/>
    <w:link w:val="16"/>
    <w:qFormat/>
    <w:locked/>
    <w:uiPriority w:val="99"/>
    <w:rPr>
      <w:rFonts w:cs="Times New Roman"/>
      <w:sz w:val="24"/>
      <w:szCs w:val="24"/>
    </w:rPr>
  </w:style>
  <w:style w:type="character" w:customStyle="1" w:styleId="55">
    <w:name w:val="正文文本缩进 字符"/>
    <w:link w:val="17"/>
    <w:qFormat/>
    <w:locked/>
    <w:uiPriority w:val="99"/>
    <w:rPr>
      <w:rFonts w:ascii="Arial Unicode MS" w:hAnsi="Arial Unicode MS" w:cs="Arial Unicode MS"/>
      <w:color w:val="000000"/>
      <w:sz w:val="28"/>
      <w:u w:color="000000"/>
      <w:lang w:eastAsia="en-US"/>
    </w:rPr>
  </w:style>
  <w:style w:type="character" w:customStyle="1" w:styleId="56">
    <w:name w:val="日期 字符"/>
    <w:link w:val="21"/>
    <w:qFormat/>
    <w:locked/>
    <w:uiPriority w:val="99"/>
    <w:rPr>
      <w:rFonts w:cs="Times New Roman"/>
    </w:rPr>
  </w:style>
  <w:style w:type="character" w:customStyle="1" w:styleId="57">
    <w:name w:val="正文文本缩进 2 字符"/>
    <w:link w:val="22"/>
    <w:qFormat/>
    <w:locked/>
    <w:uiPriority w:val="99"/>
    <w:rPr>
      <w:rFonts w:cs="Times New Roman"/>
      <w:sz w:val="28"/>
      <w:szCs w:val="28"/>
    </w:rPr>
  </w:style>
  <w:style w:type="character" w:customStyle="1" w:styleId="58">
    <w:name w:val="批注框文本 字符"/>
    <w:link w:val="23"/>
    <w:qFormat/>
    <w:locked/>
    <w:uiPriority w:val="99"/>
    <w:rPr>
      <w:rFonts w:ascii="Arial Unicode MS" w:hAnsi="Arial Unicode MS" w:cs="Times New Roman"/>
      <w:color w:val="000000"/>
      <w:sz w:val="18"/>
      <w:u w:color="000000"/>
      <w:lang w:eastAsia="en-US"/>
    </w:rPr>
  </w:style>
  <w:style w:type="character" w:customStyle="1" w:styleId="59">
    <w:name w:val="页脚 字符"/>
    <w:link w:val="24"/>
    <w:qFormat/>
    <w:locked/>
    <w:uiPriority w:val="99"/>
    <w:rPr>
      <w:rFonts w:cs="Times New Roman"/>
      <w:sz w:val="18"/>
      <w:szCs w:val="18"/>
    </w:rPr>
  </w:style>
  <w:style w:type="character" w:customStyle="1" w:styleId="60">
    <w:name w:val="页眉 字符"/>
    <w:link w:val="25"/>
    <w:qFormat/>
    <w:locked/>
    <w:uiPriority w:val="99"/>
    <w:rPr>
      <w:rFonts w:cs="Times New Roman"/>
      <w:sz w:val="18"/>
      <w:szCs w:val="18"/>
    </w:rPr>
  </w:style>
  <w:style w:type="character" w:customStyle="1" w:styleId="61">
    <w:name w:val="脚注文本 字符"/>
    <w:link w:val="28"/>
    <w:qFormat/>
    <w:locked/>
    <w:uiPriority w:val="99"/>
    <w:rPr>
      <w:rFonts w:cs="Times New Roman"/>
      <w:sz w:val="18"/>
      <w:szCs w:val="18"/>
    </w:rPr>
  </w:style>
  <w:style w:type="character" w:customStyle="1" w:styleId="62">
    <w:name w:val="标题 字符"/>
    <w:link w:val="33"/>
    <w:qFormat/>
    <w:locked/>
    <w:uiPriority w:val="99"/>
    <w:rPr>
      <w:rFonts w:ascii="Arial" w:hAnsi="Arial" w:cs="Arial"/>
      <w:b/>
      <w:bCs/>
      <w:sz w:val="32"/>
      <w:szCs w:val="32"/>
    </w:rPr>
  </w:style>
  <w:style w:type="character" w:customStyle="1" w:styleId="63">
    <w:name w:val="标题3 Char"/>
    <w:link w:val="64"/>
    <w:qFormat/>
    <w:locked/>
    <w:uiPriority w:val="99"/>
    <w:rPr>
      <w:rFonts w:ascii="宋体" w:hAnsi="宋体" w:eastAsia="仿宋_GB2312"/>
      <w:b/>
      <w:sz w:val="28"/>
      <w:u w:color="000000"/>
    </w:rPr>
  </w:style>
  <w:style w:type="paragraph" w:customStyle="1" w:styleId="64">
    <w:name w:val="标题3"/>
    <w:basedOn w:val="4"/>
    <w:link w:val="63"/>
    <w:qFormat/>
    <w:uiPriority w:val="99"/>
    <w:pPr>
      <w:ind w:left="420" w:hanging="420"/>
    </w:pPr>
    <w:rPr>
      <w:rFonts w:hAnsi="宋体" w:eastAsia="仿宋_GB2312" w:cs="Times New Roman"/>
      <w:b/>
      <w:color w:val="auto"/>
      <w:kern w:val="0"/>
      <w:sz w:val="28"/>
      <w:szCs w:val="20"/>
      <w:lang w:eastAsia="zh-CN"/>
    </w:rPr>
  </w:style>
  <w:style w:type="character" w:customStyle="1" w:styleId="65">
    <w:name w:val="列出段落 Char"/>
    <w:link w:val="66"/>
    <w:qFormat/>
    <w:locked/>
    <w:uiPriority w:val="99"/>
    <w:rPr>
      <w:color w:val="000000"/>
      <w:kern w:val="2"/>
      <w:sz w:val="22"/>
      <w:u w:color="000000"/>
      <w:lang w:val="en-US" w:eastAsia="zh-CN"/>
    </w:rPr>
  </w:style>
  <w:style w:type="paragraph" w:customStyle="1" w:styleId="66">
    <w:name w:val="列出段落11"/>
    <w:link w:val="65"/>
    <w:qFormat/>
    <w:uiPriority w:val="99"/>
    <w:pPr>
      <w:widowControl w:val="0"/>
      <w:spacing w:line="360" w:lineRule="auto"/>
      <w:ind w:firstLine="420" w:firstLineChars="200"/>
      <w:jc w:val="both"/>
    </w:pPr>
    <w:rPr>
      <w:rFonts w:ascii="Calibri" w:hAnsi="Calibri" w:eastAsia="宋体" w:cs="Times New Roman"/>
      <w:color w:val="000000"/>
      <w:kern w:val="2"/>
      <w:sz w:val="21"/>
      <w:szCs w:val="22"/>
      <w:u w:color="000000"/>
      <w:lang w:val="en-US" w:eastAsia="zh-CN" w:bidi="ar-SA"/>
    </w:rPr>
  </w:style>
  <w:style w:type="character" w:customStyle="1" w:styleId="67">
    <w:name w:val="smalltxt1"/>
    <w:qFormat/>
    <w:uiPriority w:val="99"/>
    <w:rPr>
      <w:rFonts w:ascii="Arial" w:hAnsi="Arial"/>
      <w:sz w:val="17"/>
    </w:rPr>
  </w:style>
  <w:style w:type="paragraph" w:customStyle="1" w:styleId="68">
    <w:name w:val="_Style 32"/>
    <w:qFormat/>
    <w:uiPriority w:val="99"/>
    <w:pPr>
      <w:spacing w:line="360" w:lineRule="auto"/>
      <w:ind w:firstLine="200" w:firstLineChars="200"/>
    </w:pPr>
    <w:rPr>
      <w:rFonts w:ascii="Calibri" w:hAnsi="Calibri" w:eastAsia="宋体" w:cs="Times New Roman"/>
      <w:kern w:val="2"/>
      <w:sz w:val="21"/>
      <w:szCs w:val="22"/>
      <w:lang w:val="en-US" w:eastAsia="zh-CN" w:bidi="ar-SA"/>
    </w:rPr>
  </w:style>
  <w:style w:type="character" w:customStyle="1" w:styleId="69">
    <w:name w:val="Char Char4"/>
    <w:qFormat/>
    <w:locked/>
    <w:uiPriority w:val="99"/>
    <w:rPr>
      <w:kern w:val="2"/>
      <w:sz w:val="18"/>
    </w:rPr>
  </w:style>
  <w:style w:type="character" w:customStyle="1" w:styleId="70">
    <w:name w:val="articlecontent"/>
    <w:qFormat/>
    <w:uiPriority w:val="99"/>
    <w:rPr>
      <w:rFonts w:cs="Times New Roman"/>
    </w:rPr>
  </w:style>
  <w:style w:type="character" w:customStyle="1" w:styleId="71">
    <w:name w:val="批注文字 Char"/>
    <w:qFormat/>
    <w:uiPriority w:val="99"/>
    <w:rPr>
      <w:kern w:val="2"/>
    </w:rPr>
  </w:style>
  <w:style w:type="paragraph" w:customStyle="1" w:styleId="72">
    <w:name w:val="样式 正文文字缩进 + 四号 首行缩进:  2 字符"/>
    <w:basedOn w:val="73"/>
    <w:next w:val="73"/>
    <w:qFormat/>
    <w:uiPriority w:val="99"/>
    <w:rPr>
      <w:rFonts w:ascii="仿宋_GB2312" w:eastAsia="仿宋_GB2312"/>
      <w:color w:val="auto"/>
    </w:rPr>
  </w:style>
  <w:style w:type="paragraph" w:customStyle="1" w:styleId="73">
    <w:name w:val="Default"/>
    <w:qFormat/>
    <w:uiPriority w:val="99"/>
    <w:pPr>
      <w:widowControl w:val="0"/>
      <w:autoSpaceDE w:val="0"/>
      <w:autoSpaceDN w:val="0"/>
      <w:adjustRightInd w:val="0"/>
      <w:spacing w:line="360" w:lineRule="auto"/>
      <w:ind w:firstLine="200" w:firstLineChars="200"/>
    </w:pPr>
    <w:rPr>
      <w:rFonts w:ascii="Times New Roman" w:hAnsi="Times New Roman" w:eastAsia="宋体" w:cs="Times New Roman"/>
      <w:color w:val="000000"/>
      <w:sz w:val="24"/>
      <w:szCs w:val="24"/>
      <w:lang w:val="en-US" w:eastAsia="zh-CN" w:bidi="ar-SA"/>
    </w:rPr>
  </w:style>
  <w:style w:type="character" w:customStyle="1" w:styleId="74">
    <w:name w:val="正文文本 Char1"/>
    <w:semiHidden/>
    <w:qFormat/>
    <w:uiPriority w:val="99"/>
    <w:rPr>
      <w:rFonts w:ascii="Arial Unicode MS" w:hAnsi="Arial Unicode MS" w:cs="Arial Unicode MS"/>
      <w:color w:val="000000"/>
      <w:sz w:val="20"/>
      <w:szCs w:val="20"/>
      <w:u w:color="000000"/>
      <w:lang w:eastAsia="en-US"/>
    </w:rPr>
  </w:style>
  <w:style w:type="character" w:customStyle="1" w:styleId="75">
    <w:name w:val="批注主题 Char1"/>
    <w:semiHidden/>
    <w:qFormat/>
    <w:uiPriority w:val="99"/>
    <w:rPr>
      <w:rFonts w:ascii="Arial Unicode MS" w:hAnsi="Arial Unicode MS" w:cs="Arial Unicode MS"/>
      <w:b/>
      <w:bCs/>
      <w:color w:val="000000"/>
      <w:sz w:val="20"/>
      <w:szCs w:val="20"/>
      <w:u w:color="000000"/>
      <w:lang w:eastAsia="en-US"/>
    </w:rPr>
  </w:style>
  <w:style w:type="paragraph" w:customStyle="1" w:styleId="76">
    <w:name w:val="样式1"/>
    <w:basedOn w:val="6"/>
    <w:qFormat/>
    <w:uiPriority w:val="99"/>
    <w:pPr>
      <w:outlineLvl w:val="1"/>
    </w:pPr>
    <w:rPr>
      <w:rFonts w:ascii="楷体_GB2312" w:hAnsi="华文楷体"/>
    </w:rPr>
  </w:style>
  <w:style w:type="paragraph" w:customStyle="1" w:styleId="77">
    <w:name w:val="页眉与页脚"/>
    <w:qFormat/>
    <w:uiPriority w:val="99"/>
    <w:pPr>
      <w:tabs>
        <w:tab w:val="right" w:pos="9020"/>
      </w:tabs>
      <w:spacing w:line="360" w:lineRule="auto"/>
      <w:ind w:firstLine="200" w:firstLineChars="200"/>
    </w:pPr>
    <w:rPr>
      <w:rFonts w:ascii="Helvetica" w:hAnsi="Helvetica" w:eastAsia="宋体" w:cs="Arial Unicode MS"/>
      <w:color w:val="000000"/>
      <w:sz w:val="24"/>
      <w:szCs w:val="24"/>
      <w:lang w:val="en-US" w:eastAsia="zh-CN" w:bidi="ar-SA"/>
    </w:rPr>
  </w:style>
  <w:style w:type="paragraph" w:customStyle="1" w:styleId="78">
    <w:name w:val="样式 标题 1 + 三号"/>
    <w:basedOn w:val="73"/>
    <w:next w:val="73"/>
    <w:qFormat/>
    <w:uiPriority w:val="99"/>
    <w:rPr>
      <w:rFonts w:ascii="华文仿宋" w:eastAsia="华文仿宋"/>
      <w:color w:val="auto"/>
    </w:rPr>
  </w:style>
  <w:style w:type="paragraph" w:customStyle="1" w:styleId="79">
    <w:name w:val="列出段落1"/>
    <w:basedOn w:val="1"/>
    <w:qFormat/>
    <w:uiPriority w:val="99"/>
    <w:pPr>
      <w:ind w:firstLine="420"/>
    </w:pPr>
  </w:style>
  <w:style w:type="character" w:customStyle="1" w:styleId="80">
    <w:name w:val="正文文本缩进 Char1"/>
    <w:semiHidden/>
    <w:qFormat/>
    <w:uiPriority w:val="99"/>
    <w:rPr>
      <w:rFonts w:ascii="Arial Unicode MS" w:hAnsi="Arial Unicode MS" w:cs="Arial Unicode MS"/>
      <w:color w:val="000000"/>
      <w:sz w:val="20"/>
      <w:szCs w:val="20"/>
      <w:u w:color="000000"/>
      <w:lang w:eastAsia="en-US"/>
    </w:rPr>
  </w:style>
  <w:style w:type="character" w:customStyle="1" w:styleId="81">
    <w:name w:val="标题 Char1"/>
    <w:qFormat/>
    <w:uiPriority w:val="99"/>
    <w:rPr>
      <w:rFonts w:ascii="Calibri Light" w:hAnsi="Calibri Light" w:eastAsia="宋体" w:cs="Times New Roman"/>
      <w:b/>
      <w:bCs/>
      <w:color w:val="000000"/>
      <w:sz w:val="32"/>
      <w:szCs w:val="32"/>
      <w:u w:color="000000"/>
      <w:lang w:eastAsia="en-US"/>
    </w:rPr>
  </w:style>
  <w:style w:type="character" w:customStyle="1" w:styleId="82">
    <w:name w:val="纯文本 Char1"/>
    <w:semiHidden/>
    <w:qFormat/>
    <w:uiPriority w:val="99"/>
    <w:rPr>
      <w:rFonts w:ascii="宋体" w:hAnsi="Courier New" w:eastAsia="宋体" w:cs="Courier New"/>
      <w:color w:val="000000"/>
      <w:sz w:val="21"/>
      <w:szCs w:val="21"/>
      <w:u w:color="000000"/>
      <w:lang w:eastAsia="en-US"/>
    </w:rPr>
  </w:style>
  <w:style w:type="character" w:customStyle="1" w:styleId="83">
    <w:name w:val="脚注文本 Char1"/>
    <w:semiHidden/>
    <w:qFormat/>
    <w:uiPriority w:val="99"/>
    <w:rPr>
      <w:rFonts w:ascii="Arial Unicode MS" w:hAnsi="Arial Unicode MS" w:cs="Arial Unicode MS"/>
      <w:color w:val="000000"/>
      <w:sz w:val="18"/>
      <w:szCs w:val="18"/>
      <w:u w:color="000000"/>
      <w:lang w:eastAsia="en-US"/>
    </w:rPr>
  </w:style>
  <w:style w:type="character" w:customStyle="1" w:styleId="84">
    <w:name w:val="页脚 Char1"/>
    <w:semiHidden/>
    <w:qFormat/>
    <w:uiPriority w:val="99"/>
    <w:rPr>
      <w:rFonts w:ascii="Arial Unicode MS" w:hAnsi="Arial Unicode MS" w:cs="Arial Unicode MS"/>
      <w:color w:val="000000"/>
      <w:kern w:val="2"/>
      <w:sz w:val="18"/>
      <w:szCs w:val="18"/>
      <w:u w:color="000000"/>
      <w:lang w:eastAsia="en-US"/>
    </w:rPr>
  </w:style>
  <w:style w:type="character" w:customStyle="1" w:styleId="85">
    <w:name w:val="正文文本缩进 2 Char1"/>
    <w:semiHidden/>
    <w:qFormat/>
    <w:uiPriority w:val="99"/>
    <w:rPr>
      <w:rFonts w:ascii="Arial Unicode MS" w:hAnsi="Arial Unicode MS" w:cs="Arial Unicode MS"/>
      <w:color w:val="000000"/>
      <w:sz w:val="20"/>
      <w:szCs w:val="20"/>
      <w:u w:color="000000"/>
      <w:lang w:eastAsia="en-US"/>
    </w:rPr>
  </w:style>
  <w:style w:type="character" w:customStyle="1" w:styleId="86">
    <w:name w:val="批注框文本 Char1"/>
    <w:semiHidden/>
    <w:qFormat/>
    <w:uiPriority w:val="99"/>
    <w:rPr>
      <w:rFonts w:ascii="Arial Unicode MS" w:hAnsi="Arial Unicode MS" w:cs="Arial Unicode MS"/>
      <w:color w:val="000000"/>
      <w:sz w:val="18"/>
      <w:szCs w:val="18"/>
      <w:u w:color="000000"/>
      <w:lang w:eastAsia="en-US"/>
    </w:rPr>
  </w:style>
  <w:style w:type="character" w:customStyle="1" w:styleId="87">
    <w:name w:val="页眉 Char1"/>
    <w:semiHidden/>
    <w:qFormat/>
    <w:uiPriority w:val="99"/>
    <w:rPr>
      <w:rFonts w:ascii="Arial Unicode MS" w:hAnsi="Arial Unicode MS" w:cs="Arial Unicode MS"/>
      <w:color w:val="000000"/>
      <w:kern w:val="2"/>
      <w:sz w:val="18"/>
      <w:szCs w:val="18"/>
      <w:u w:color="000000"/>
      <w:lang w:eastAsia="en-US"/>
    </w:rPr>
  </w:style>
  <w:style w:type="character" w:customStyle="1" w:styleId="88">
    <w:name w:val="日期 Char1"/>
    <w:semiHidden/>
    <w:qFormat/>
    <w:uiPriority w:val="99"/>
    <w:rPr>
      <w:rFonts w:ascii="Arial Unicode MS" w:hAnsi="Arial Unicode MS" w:cs="Arial Unicode MS"/>
      <w:color w:val="000000"/>
      <w:sz w:val="20"/>
      <w:szCs w:val="20"/>
      <w:u w:color="000000"/>
      <w:lang w:eastAsia="en-US"/>
    </w:rPr>
  </w:style>
  <w:style w:type="paragraph" w:customStyle="1" w:styleId="89">
    <w:name w:val="标题1"/>
    <w:qFormat/>
    <w:uiPriority w:val="99"/>
    <w:pPr>
      <w:widowControl w:val="0"/>
      <w:spacing w:before="240" w:after="60" w:line="360" w:lineRule="auto"/>
      <w:ind w:firstLine="200" w:firstLineChars="200"/>
      <w:jc w:val="center"/>
      <w:outlineLvl w:val="0"/>
    </w:pPr>
    <w:rPr>
      <w:rFonts w:ascii="Arial Unicode MS" w:hAnsi="Arial Unicode MS" w:eastAsia="宋体" w:cs="Arial Unicode MS"/>
      <w:b/>
      <w:bCs/>
      <w:color w:val="000000"/>
      <w:kern w:val="2"/>
      <w:sz w:val="32"/>
      <w:szCs w:val="32"/>
      <w:u w:color="000000"/>
      <w:lang w:val="en-US" w:eastAsia="zh-CN" w:bidi="ar-SA"/>
    </w:rPr>
  </w:style>
  <w:style w:type="paragraph" w:customStyle="1" w:styleId="90">
    <w:name w:val="修订1"/>
    <w:qFormat/>
    <w:uiPriority w:val="99"/>
    <w:pPr>
      <w:spacing w:line="360" w:lineRule="auto"/>
      <w:ind w:firstLine="200" w:firstLineChars="200"/>
    </w:pPr>
    <w:rPr>
      <w:rFonts w:ascii="Times New Roman" w:hAnsi="Times New Roman" w:eastAsia="宋体" w:cs="Times New Roman"/>
      <w:kern w:val="2"/>
      <w:lang w:val="en-US" w:eastAsia="zh-CN" w:bidi="ar-SA"/>
    </w:rPr>
  </w:style>
  <w:style w:type="paragraph" w:customStyle="1" w:styleId="91">
    <w:name w:val="默认"/>
    <w:qFormat/>
    <w:uiPriority w:val="99"/>
    <w:pPr>
      <w:spacing w:line="360" w:lineRule="auto"/>
      <w:ind w:firstLine="200" w:firstLineChars="200"/>
    </w:pPr>
    <w:rPr>
      <w:rFonts w:ascii="Helvetica" w:hAnsi="Helvetica" w:eastAsia="宋体" w:cs="Helvetica"/>
      <w:color w:val="000000"/>
      <w:sz w:val="22"/>
      <w:szCs w:val="22"/>
      <w:lang w:val="en-US" w:eastAsia="zh-CN" w:bidi="ar-SA"/>
    </w:rPr>
  </w:style>
  <w:style w:type="paragraph" w:customStyle="1" w:styleId="92">
    <w:name w:val="页脚1"/>
    <w:qFormat/>
    <w:uiPriority w:val="99"/>
    <w:pPr>
      <w:widowControl w:val="0"/>
      <w:tabs>
        <w:tab w:val="center" w:pos="4153"/>
        <w:tab w:val="right" w:pos="8306"/>
      </w:tabs>
      <w:spacing w:line="360" w:lineRule="auto"/>
      <w:ind w:firstLine="200" w:firstLineChars="200"/>
    </w:pPr>
    <w:rPr>
      <w:rFonts w:ascii="Times New Roman" w:hAnsi="Times New Roman" w:eastAsia="宋体" w:cs="Arial Unicode MS"/>
      <w:color w:val="000000"/>
      <w:kern w:val="2"/>
      <w:sz w:val="18"/>
      <w:szCs w:val="18"/>
      <w:u w:color="000000"/>
      <w:lang w:val="en-US" w:eastAsia="zh-CN" w:bidi="ar-SA"/>
    </w:rPr>
  </w:style>
  <w:style w:type="paragraph" w:customStyle="1" w:styleId="93">
    <w:name w:val="标题 21"/>
    <w:next w:val="1"/>
    <w:qFormat/>
    <w:uiPriority w:val="99"/>
    <w:pPr>
      <w:keepNext/>
      <w:keepLines/>
      <w:widowControl w:val="0"/>
      <w:spacing w:before="260" w:after="260" w:line="416" w:lineRule="auto"/>
      <w:ind w:firstLine="420" w:firstLineChars="200"/>
      <w:jc w:val="both"/>
      <w:outlineLvl w:val="1"/>
    </w:pPr>
    <w:rPr>
      <w:rFonts w:ascii="Cambria" w:hAnsi="Cambria" w:eastAsia="宋体" w:cs="Cambria"/>
      <w:b/>
      <w:bCs/>
      <w:color w:val="000000"/>
      <w:kern w:val="2"/>
      <w:sz w:val="32"/>
      <w:szCs w:val="32"/>
      <w:u w:color="000000"/>
      <w:lang w:val="en-US" w:eastAsia="zh-CN" w:bidi="ar-SA"/>
    </w:rPr>
  </w:style>
  <w:style w:type="paragraph" w:customStyle="1" w:styleId="94">
    <w:name w:val="普通(网站)1"/>
    <w:qFormat/>
    <w:uiPriority w:val="99"/>
    <w:pPr>
      <w:spacing w:before="100" w:after="100" w:line="360" w:lineRule="auto"/>
      <w:ind w:firstLine="200" w:firstLineChars="200"/>
    </w:pPr>
    <w:rPr>
      <w:rFonts w:ascii="宋体" w:hAnsi="宋体" w:eastAsia="宋体" w:cs="宋体"/>
      <w:color w:val="000000"/>
      <w:sz w:val="24"/>
      <w:szCs w:val="24"/>
      <w:u w:color="000000"/>
      <w:lang w:val="en-US" w:eastAsia="zh-CN" w:bidi="ar-SA"/>
    </w:rPr>
  </w:style>
  <w:style w:type="paragraph" w:customStyle="1" w:styleId="95">
    <w:name w:val="CM29"/>
    <w:basedOn w:val="1"/>
    <w:next w:val="1"/>
    <w:qFormat/>
    <w:uiPriority w:val="99"/>
    <w:pPr>
      <w:autoSpaceDE w:val="0"/>
      <w:autoSpaceDN w:val="0"/>
      <w:adjustRightInd w:val="0"/>
    </w:pPr>
    <w:rPr>
      <w:color w:val="auto"/>
      <w:kern w:val="0"/>
      <w:sz w:val="24"/>
      <w:szCs w:val="24"/>
      <w:lang w:eastAsia="zh-CN"/>
    </w:rPr>
  </w:style>
  <w:style w:type="paragraph" w:customStyle="1" w:styleId="96">
    <w:name w:val="纯文本1"/>
    <w:qFormat/>
    <w:uiPriority w:val="99"/>
    <w:pPr>
      <w:widowControl w:val="0"/>
      <w:spacing w:line="360" w:lineRule="auto"/>
      <w:ind w:firstLine="200" w:firstLineChars="200"/>
      <w:jc w:val="both"/>
    </w:pPr>
    <w:rPr>
      <w:rFonts w:ascii="宋体" w:hAnsi="宋体" w:eastAsia="宋体" w:cs="宋体"/>
      <w:color w:val="000000"/>
      <w:kern w:val="2"/>
      <w:sz w:val="21"/>
      <w:szCs w:val="21"/>
      <w:u w:color="000000"/>
      <w:lang w:val="en-US" w:eastAsia="zh-CN" w:bidi="ar-SA"/>
    </w:rPr>
  </w:style>
  <w:style w:type="paragraph" w:customStyle="1" w:styleId="97">
    <w:name w:val="Char"/>
    <w:basedOn w:val="1"/>
    <w:qFormat/>
    <w:uiPriority w:val="99"/>
    <w:pPr>
      <w:spacing w:after="160" w:line="240" w:lineRule="exact"/>
    </w:pPr>
    <w:rPr>
      <w:rFonts w:ascii="Verdana" w:hAnsi="Verdana"/>
      <w:color w:val="auto"/>
      <w:kern w:val="0"/>
      <w:sz w:val="24"/>
    </w:rPr>
  </w:style>
  <w:style w:type="paragraph" w:customStyle="1" w:styleId="98">
    <w:name w:val="列出段落2"/>
    <w:basedOn w:val="1"/>
    <w:qFormat/>
    <w:uiPriority w:val="99"/>
    <w:pPr>
      <w:widowControl w:val="0"/>
      <w:spacing w:line="180" w:lineRule="exact"/>
      <w:ind w:firstLine="420"/>
    </w:pPr>
    <w:rPr>
      <w:color w:val="auto"/>
      <w:sz w:val="21"/>
      <w:szCs w:val="24"/>
      <w:lang w:eastAsia="zh-CN"/>
    </w:rPr>
  </w:style>
  <w:style w:type="paragraph" w:customStyle="1" w:styleId="99">
    <w:name w:val="样式1234"/>
    <w:basedOn w:val="3"/>
    <w:qFormat/>
    <w:uiPriority w:val="99"/>
    <w:pPr>
      <w:widowControl w:val="0"/>
      <w:numPr>
        <w:ilvl w:val="1"/>
        <w:numId w:val="1"/>
      </w:numPr>
      <w:snapToGrid w:val="0"/>
      <w:spacing w:beforeLines="100"/>
      <w:ind w:left="567" w:firstLine="0" w:firstLineChars="0"/>
    </w:pPr>
    <w:rPr>
      <w:rFonts w:ascii="仿宋_GB2312" w:hAnsi="仿宋" w:eastAsia="仿宋_GB2312" w:cs="Times New Roman"/>
      <w:b w:val="0"/>
      <w:sz w:val="30"/>
      <w:szCs w:val="30"/>
      <w:lang w:eastAsia="zh-CN"/>
    </w:rPr>
  </w:style>
  <w:style w:type="paragraph" w:customStyle="1" w:styleId="100">
    <w:name w:val="修订2"/>
    <w:hidden/>
    <w:semiHidden/>
    <w:qFormat/>
    <w:uiPriority w:val="99"/>
    <w:rPr>
      <w:rFonts w:ascii="Times New Roman" w:hAnsi="Times New Roman" w:eastAsia="仿宋_GB2312" w:cs="Times New Roman"/>
      <w:kern w:val="2"/>
      <w:sz w:val="32"/>
      <w:szCs w:val="32"/>
      <w:lang w:val="en-US" w:eastAsia="zh-CN" w:bidi="ar-SA"/>
    </w:rPr>
  </w:style>
  <w:style w:type="paragraph" w:customStyle="1" w:styleId="101">
    <w:name w:val="列表段落1"/>
    <w:basedOn w:val="1"/>
    <w:qFormat/>
    <w:uiPriority w:val="34"/>
    <w:pPr>
      <w:widowControl w:val="0"/>
      <w:ind w:firstLine="420"/>
    </w:pPr>
    <w:rPr>
      <w:color w:val="auto"/>
      <w:lang w:eastAsia="zh-CN"/>
    </w:rPr>
  </w:style>
  <w:style w:type="character" w:customStyle="1" w:styleId="102">
    <w:name w:val="标题 2 字符1"/>
    <w:qFormat/>
    <w:uiPriority w:val="0"/>
    <w:rPr>
      <w:rFonts w:ascii="宋体" w:hAnsi="宋体" w:eastAsia="仿宋_GB2312" w:cs="Times New Roman"/>
      <w:b/>
      <w:color w:val="000000"/>
      <w:sz w:val="28"/>
      <w:szCs w:val="28"/>
      <w:u w:color="000000"/>
      <w:lang w:eastAsia="en-US"/>
    </w:rPr>
  </w:style>
  <w:style w:type="character" w:customStyle="1" w:styleId="103">
    <w:name w:val="标题 3 字符1"/>
    <w:qFormat/>
    <w:uiPriority w:val="0"/>
    <w:rPr>
      <w:rFonts w:ascii="Times New Roman" w:hAnsi="Times New Roman" w:eastAsia="黑体" w:cs="Times New Roman"/>
      <w:sz w:val="32"/>
      <w:szCs w:val="32"/>
      <w:u w:color="000000"/>
      <w:lang w:eastAsia="en-US"/>
    </w:rPr>
  </w:style>
  <w:style w:type="character" w:customStyle="1" w:styleId="104">
    <w:name w:val="页脚 Char"/>
    <w:qFormat/>
    <w:uiPriority w:val="0"/>
    <w:rPr>
      <w:rFonts w:ascii="Arial Unicode MS" w:hAnsi="Arial Unicode MS" w:eastAsia="Times New Roman" w:cs="Arial Unicode MS"/>
      <w:color w:val="000000"/>
      <w:kern w:val="2"/>
      <w:sz w:val="18"/>
      <w:szCs w:val="18"/>
      <w:u w:color="00000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390333-34C5-4001-A2B5-9464CA44871B}">
  <ds:schemaRefs/>
</ds:datastoreItem>
</file>

<file path=docProps/app.xml><?xml version="1.0" encoding="utf-8"?>
<Properties xmlns="http://schemas.openxmlformats.org/officeDocument/2006/extended-properties" xmlns:vt="http://schemas.openxmlformats.org/officeDocument/2006/docPropsVTypes">
  <Template>Normal</Template>
  <Pages>21</Pages>
  <Words>1566</Words>
  <Characters>8930</Characters>
  <Lines>74</Lines>
  <Paragraphs>20</Paragraphs>
  <TotalTime>0</TotalTime>
  <ScaleCrop>false</ScaleCrop>
  <LinksUpToDate>false</LinksUpToDate>
  <CharactersWithSpaces>10476</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2020-04-27T08:13:00Z</dcterms:created>
  <dc:creator>朱丽霞</dc:creator>
  <cp:lastModifiedBy>YZ0_TIANYANG</cp:lastModifiedBy>
  <cp:lastPrinted>2020-04-17T06:04:00Z</cp:lastPrinted>
  <dcterms:modified xsi:type="dcterms:W3CDTF">2020-04-29T09:45:27Z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